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C3A7" w14:textId="77777777" w:rsidR="0083240E" w:rsidRDefault="0083240E" w:rsidP="00A81DF7">
      <w:pPr>
        <w:spacing w:before="120" w:after="240" w:line="240" w:lineRule="auto"/>
        <w:jc w:val="right"/>
        <w:rPr>
          <w:rFonts w:ascii="Arial" w:hAnsi="Arial" w:cs="Arial"/>
          <w:b/>
          <w:sz w:val="24"/>
          <w:szCs w:val="24"/>
        </w:rPr>
      </w:pPr>
      <w:r>
        <w:rPr>
          <w:rFonts w:ascii="Arial" w:hAnsi="Arial" w:cs="Arial"/>
          <w:b/>
          <w:sz w:val="24"/>
          <w:szCs w:val="24"/>
        </w:rPr>
        <w:t>Appendix A</w:t>
      </w:r>
    </w:p>
    <w:p w14:paraId="2D3B9125" w14:textId="77777777" w:rsidR="00FB2BCC" w:rsidRDefault="00FB2BCC" w:rsidP="00BB5B4A">
      <w:pPr>
        <w:spacing w:before="120" w:after="240" w:line="240" w:lineRule="auto"/>
        <w:rPr>
          <w:rFonts w:ascii="Arial" w:hAnsi="Arial" w:cs="Arial"/>
          <w:b/>
          <w:sz w:val="32"/>
          <w:szCs w:val="32"/>
        </w:rPr>
      </w:pPr>
      <w:r w:rsidRPr="005579A5">
        <w:rPr>
          <w:rFonts w:ascii="Arial" w:hAnsi="Arial" w:cs="Arial"/>
          <w:b/>
          <w:sz w:val="32"/>
          <w:szCs w:val="32"/>
        </w:rPr>
        <w:t xml:space="preserve">Matters </w:t>
      </w:r>
      <w:r>
        <w:rPr>
          <w:rFonts w:ascii="Arial" w:hAnsi="Arial" w:cs="Arial"/>
          <w:b/>
          <w:sz w:val="32"/>
          <w:szCs w:val="32"/>
        </w:rPr>
        <w:t xml:space="preserve">arising </w:t>
      </w:r>
      <w:r w:rsidRPr="005579A5">
        <w:rPr>
          <w:rFonts w:ascii="Arial" w:hAnsi="Arial" w:cs="Arial"/>
          <w:b/>
          <w:sz w:val="32"/>
          <w:szCs w:val="32"/>
        </w:rPr>
        <w:t xml:space="preserve">from </w:t>
      </w:r>
      <w:r>
        <w:rPr>
          <w:rFonts w:ascii="Arial" w:hAnsi="Arial" w:cs="Arial"/>
          <w:b/>
          <w:sz w:val="32"/>
          <w:szCs w:val="32"/>
        </w:rPr>
        <w:t>i</w:t>
      </w:r>
      <w:r w:rsidRPr="005579A5">
        <w:rPr>
          <w:rFonts w:ascii="Arial" w:hAnsi="Arial" w:cs="Arial"/>
          <w:b/>
          <w:sz w:val="32"/>
          <w:szCs w:val="32"/>
        </w:rPr>
        <w:t xml:space="preserve">nternal </w:t>
      </w:r>
      <w:r>
        <w:rPr>
          <w:rFonts w:ascii="Arial" w:hAnsi="Arial" w:cs="Arial"/>
          <w:b/>
          <w:sz w:val="32"/>
          <w:szCs w:val="32"/>
        </w:rPr>
        <w:t>a</w:t>
      </w:r>
      <w:r w:rsidRPr="005579A5">
        <w:rPr>
          <w:rFonts w:ascii="Arial" w:hAnsi="Arial" w:cs="Arial"/>
          <w:b/>
          <w:sz w:val="32"/>
          <w:szCs w:val="32"/>
        </w:rPr>
        <w:t>udit work during the period</w:t>
      </w:r>
    </w:p>
    <w:p w14:paraId="613C0A1D" w14:textId="77777777" w:rsidR="00FB2BCC" w:rsidRPr="00BB5B4A" w:rsidRDefault="00FB2BCC" w:rsidP="00BB5B4A">
      <w:pPr>
        <w:pStyle w:val="ListParagraph"/>
        <w:numPr>
          <w:ilvl w:val="0"/>
          <w:numId w:val="24"/>
        </w:numPr>
        <w:tabs>
          <w:tab w:val="clear" w:pos="851"/>
        </w:tabs>
        <w:spacing w:before="120" w:after="120" w:line="240" w:lineRule="auto"/>
        <w:ind w:left="567" w:hanging="567"/>
        <w:rPr>
          <w:rFonts w:ascii="Arial" w:hAnsi="Arial" w:cs="Arial"/>
          <w:b/>
          <w:sz w:val="28"/>
          <w:szCs w:val="28"/>
        </w:rPr>
      </w:pPr>
      <w:r w:rsidRPr="00BB5B4A">
        <w:rPr>
          <w:rFonts w:ascii="Arial" w:hAnsi="Arial" w:cs="Arial"/>
          <w:b/>
          <w:sz w:val="28"/>
          <w:szCs w:val="28"/>
        </w:rPr>
        <w:t>Introduction</w:t>
      </w:r>
    </w:p>
    <w:p w14:paraId="575CD3EC" w14:textId="77777777" w:rsidR="007B7E14" w:rsidRPr="00BB5B4A" w:rsidRDefault="00FB2BCC" w:rsidP="00BB5B4A">
      <w:pPr>
        <w:pStyle w:val="ListParagraph"/>
        <w:numPr>
          <w:ilvl w:val="1"/>
          <w:numId w:val="24"/>
        </w:numPr>
        <w:tabs>
          <w:tab w:val="clear" w:pos="851"/>
        </w:tabs>
        <w:spacing w:before="120" w:after="120" w:line="240" w:lineRule="auto"/>
        <w:ind w:left="567" w:hanging="567"/>
        <w:rPr>
          <w:rFonts w:ascii="Arial" w:hAnsi="Arial" w:cs="Arial"/>
          <w:sz w:val="24"/>
          <w:szCs w:val="24"/>
        </w:rPr>
      </w:pPr>
      <w:r w:rsidRPr="00BB5B4A">
        <w:rPr>
          <w:rFonts w:ascii="Arial" w:hAnsi="Arial" w:cs="Arial"/>
          <w:sz w:val="24"/>
          <w:szCs w:val="24"/>
        </w:rPr>
        <w:t xml:space="preserve">This report highlights key issues that the Audit and Governance Committee should be aware of </w:t>
      </w:r>
      <w:r w:rsidR="00E67E29" w:rsidRPr="00BB5B4A">
        <w:rPr>
          <w:rFonts w:ascii="Arial" w:hAnsi="Arial" w:cs="Arial"/>
          <w:sz w:val="24"/>
          <w:szCs w:val="24"/>
        </w:rPr>
        <w:t>in</w:t>
      </w:r>
      <w:r w:rsidRPr="00BB5B4A">
        <w:rPr>
          <w:rFonts w:ascii="Arial" w:hAnsi="Arial" w:cs="Arial"/>
          <w:sz w:val="24"/>
          <w:szCs w:val="24"/>
        </w:rPr>
        <w:t xml:space="preserve"> fulfil</w:t>
      </w:r>
      <w:r w:rsidR="00E67E29" w:rsidRPr="00BB5B4A">
        <w:rPr>
          <w:rFonts w:ascii="Arial" w:hAnsi="Arial" w:cs="Arial"/>
          <w:sz w:val="24"/>
          <w:szCs w:val="24"/>
        </w:rPr>
        <w:t>ling</w:t>
      </w:r>
      <w:r w:rsidRPr="00BB5B4A">
        <w:rPr>
          <w:rFonts w:ascii="Arial" w:hAnsi="Arial" w:cs="Arial"/>
          <w:sz w:val="24"/>
          <w:szCs w:val="24"/>
        </w:rPr>
        <w:t xml:space="preserve"> its role of providing independent oversight of the adequacy of the council's governance, risk management and internal control framework.</w:t>
      </w:r>
      <w:r w:rsidR="00DC3125" w:rsidRPr="00BB5B4A">
        <w:rPr>
          <w:rFonts w:ascii="Arial" w:hAnsi="Arial" w:cs="Arial"/>
          <w:sz w:val="24"/>
          <w:szCs w:val="24"/>
        </w:rPr>
        <w:t xml:space="preserve"> </w:t>
      </w:r>
      <w:r w:rsidRPr="00BB5B4A">
        <w:rPr>
          <w:rFonts w:ascii="Arial" w:hAnsi="Arial" w:cs="Arial"/>
          <w:sz w:val="24"/>
          <w:szCs w:val="24"/>
        </w:rPr>
        <w:t>It</w:t>
      </w:r>
      <w:r w:rsidR="0083240E" w:rsidRPr="00BB5B4A">
        <w:rPr>
          <w:rFonts w:ascii="Arial" w:hAnsi="Arial" w:cs="Arial"/>
          <w:sz w:val="24"/>
          <w:szCs w:val="24"/>
        </w:rPr>
        <w:t xml:space="preserve"> </w:t>
      </w:r>
      <w:r w:rsidR="00AD4EEA" w:rsidRPr="00BB5B4A">
        <w:rPr>
          <w:rFonts w:ascii="Arial" w:hAnsi="Arial" w:cs="Arial"/>
          <w:sz w:val="24"/>
          <w:szCs w:val="24"/>
        </w:rPr>
        <w:t xml:space="preserve">sets out the </w:t>
      </w:r>
      <w:r w:rsidR="00B43A6F" w:rsidRPr="00BB5B4A">
        <w:rPr>
          <w:rFonts w:ascii="Arial" w:hAnsi="Arial" w:cs="Arial"/>
          <w:sz w:val="24"/>
          <w:szCs w:val="24"/>
        </w:rPr>
        <w:t>issues arising from</w:t>
      </w:r>
      <w:r w:rsidR="0083240E" w:rsidRPr="00BB5B4A">
        <w:rPr>
          <w:rFonts w:ascii="Arial" w:hAnsi="Arial" w:cs="Arial"/>
          <w:sz w:val="24"/>
          <w:szCs w:val="24"/>
        </w:rPr>
        <w:t xml:space="preserve"> the </w:t>
      </w:r>
      <w:r w:rsidR="00444D52" w:rsidRPr="00BB5B4A">
        <w:rPr>
          <w:rFonts w:ascii="Arial" w:hAnsi="Arial" w:cs="Arial"/>
          <w:sz w:val="24"/>
          <w:szCs w:val="24"/>
        </w:rPr>
        <w:t xml:space="preserve">work undertaken </w:t>
      </w:r>
      <w:r w:rsidR="00FE7FEB" w:rsidRPr="00BB5B4A">
        <w:rPr>
          <w:rFonts w:ascii="Arial" w:hAnsi="Arial" w:cs="Arial"/>
          <w:sz w:val="24"/>
          <w:szCs w:val="24"/>
        </w:rPr>
        <w:t xml:space="preserve">by the Internal Audit Service </w:t>
      </w:r>
      <w:r w:rsidR="005F2458" w:rsidRPr="00BB5B4A">
        <w:rPr>
          <w:rFonts w:ascii="Arial" w:hAnsi="Arial" w:cs="Arial"/>
          <w:sz w:val="24"/>
          <w:szCs w:val="24"/>
        </w:rPr>
        <w:t xml:space="preserve">during the </w:t>
      </w:r>
      <w:r w:rsidR="0063787C" w:rsidRPr="00BB5B4A">
        <w:rPr>
          <w:rFonts w:ascii="Arial" w:hAnsi="Arial" w:cs="Arial"/>
          <w:sz w:val="24"/>
          <w:szCs w:val="24"/>
        </w:rPr>
        <w:t xml:space="preserve">period </w:t>
      </w:r>
      <w:r w:rsidR="006568F8" w:rsidRPr="00BB5B4A">
        <w:rPr>
          <w:rFonts w:ascii="Arial" w:hAnsi="Arial" w:cs="Arial"/>
          <w:sz w:val="24"/>
          <w:szCs w:val="24"/>
        </w:rPr>
        <w:t xml:space="preserve">to </w:t>
      </w:r>
      <w:r w:rsidR="000739B4" w:rsidRPr="00BB5B4A">
        <w:rPr>
          <w:rFonts w:ascii="Arial" w:hAnsi="Arial" w:cs="Arial"/>
          <w:sz w:val="24"/>
          <w:szCs w:val="24"/>
        </w:rPr>
        <w:t>31 December</w:t>
      </w:r>
      <w:r w:rsidR="00CA2CF2" w:rsidRPr="00BB5B4A">
        <w:rPr>
          <w:rFonts w:ascii="Arial" w:hAnsi="Arial" w:cs="Arial"/>
          <w:sz w:val="24"/>
          <w:szCs w:val="24"/>
        </w:rPr>
        <w:t xml:space="preserve"> 2014</w:t>
      </w:r>
      <w:r w:rsidR="0083240E" w:rsidRPr="00BB5B4A">
        <w:rPr>
          <w:rFonts w:ascii="Arial" w:hAnsi="Arial" w:cs="Arial"/>
          <w:sz w:val="24"/>
          <w:szCs w:val="24"/>
        </w:rPr>
        <w:t>.</w:t>
      </w:r>
    </w:p>
    <w:p w14:paraId="1F3AF953" w14:textId="77777777" w:rsidR="004774A4" w:rsidRPr="00D616DC" w:rsidRDefault="00F33D92" w:rsidP="00BB5B4A">
      <w:pPr>
        <w:pStyle w:val="ListParagraph"/>
        <w:numPr>
          <w:ilvl w:val="1"/>
          <w:numId w:val="24"/>
        </w:numPr>
        <w:tabs>
          <w:tab w:val="clear" w:pos="851"/>
        </w:tabs>
        <w:spacing w:before="120" w:after="120" w:line="240" w:lineRule="auto"/>
        <w:ind w:left="567" w:hanging="567"/>
        <w:rPr>
          <w:rFonts w:ascii="Arial" w:hAnsi="Arial" w:cs="Arial"/>
          <w:sz w:val="24"/>
          <w:szCs w:val="24"/>
        </w:rPr>
      </w:pPr>
      <w:r w:rsidRPr="00BB5B4A">
        <w:rPr>
          <w:rFonts w:ascii="Arial" w:hAnsi="Arial" w:cs="Arial"/>
          <w:sz w:val="24"/>
          <w:szCs w:val="24"/>
        </w:rPr>
        <w:t xml:space="preserve">A full table of all the audit work </w:t>
      </w:r>
      <w:r w:rsidR="000D46C6" w:rsidRPr="00BB5B4A">
        <w:rPr>
          <w:rFonts w:ascii="Arial" w:hAnsi="Arial" w:cs="Arial"/>
          <w:sz w:val="24"/>
          <w:szCs w:val="24"/>
        </w:rPr>
        <w:t xml:space="preserve">currently </w:t>
      </w:r>
      <w:r w:rsidRPr="00BB5B4A">
        <w:rPr>
          <w:rFonts w:ascii="Arial" w:hAnsi="Arial" w:cs="Arial"/>
          <w:sz w:val="24"/>
          <w:szCs w:val="24"/>
        </w:rPr>
        <w:t>planned</w:t>
      </w:r>
      <w:r w:rsidR="00B43A6F" w:rsidRPr="00BB5B4A">
        <w:rPr>
          <w:rFonts w:ascii="Arial" w:hAnsi="Arial" w:cs="Arial"/>
          <w:sz w:val="24"/>
          <w:szCs w:val="24"/>
        </w:rPr>
        <w:t>, progressing and completed</w:t>
      </w:r>
      <w:r w:rsidRPr="00BB5B4A">
        <w:rPr>
          <w:rFonts w:ascii="Arial" w:hAnsi="Arial" w:cs="Arial"/>
          <w:sz w:val="24"/>
          <w:szCs w:val="24"/>
        </w:rPr>
        <w:t xml:space="preserve"> for 201</w:t>
      </w:r>
      <w:r w:rsidR="000739B4" w:rsidRPr="00BB5B4A">
        <w:rPr>
          <w:rFonts w:ascii="Arial" w:hAnsi="Arial" w:cs="Arial"/>
          <w:sz w:val="24"/>
          <w:szCs w:val="24"/>
        </w:rPr>
        <w:t>4</w:t>
      </w:r>
      <w:r w:rsidRPr="00BB5B4A">
        <w:rPr>
          <w:rFonts w:ascii="Arial" w:hAnsi="Arial" w:cs="Arial"/>
          <w:sz w:val="24"/>
          <w:szCs w:val="24"/>
        </w:rPr>
        <w:t>/1</w:t>
      </w:r>
      <w:r w:rsidR="000739B4" w:rsidRPr="00BB5B4A">
        <w:rPr>
          <w:rFonts w:ascii="Arial" w:hAnsi="Arial" w:cs="Arial"/>
          <w:sz w:val="24"/>
          <w:szCs w:val="24"/>
        </w:rPr>
        <w:t xml:space="preserve">5 is </w:t>
      </w:r>
      <w:r w:rsidRPr="00BB5B4A">
        <w:rPr>
          <w:rFonts w:ascii="Arial" w:hAnsi="Arial" w:cs="Arial"/>
          <w:sz w:val="24"/>
          <w:szCs w:val="24"/>
        </w:rPr>
        <w:t xml:space="preserve">included at </w:t>
      </w:r>
      <w:r w:rsidR="005579A5" w:rsidRPr="00BA1014">
        <w:rPr>
          <w:rFonts w:ascii="Arial" w:hAnsi="Arial" w:cs="Arial"/>
          <w:sz w:val="24"/>
          <w:szCs w:val="24"/>
        </w:rPr>
        <w:t>Appendix B</w:t>
      </w:r>
      <w:r w:rsidRPr="00BA1014">
        <w:rPr>
          <w:rFonts w:ascii="Arial" w:hAnsi="Arial" w:cs="Arial"/>
          <w:sz w:val="24"/>
          <w:szCs w:val="24"/>
        </w:rPr>
        <w:t>, setting</w:t>
      </w:r>
      <w:r w:rsidRPr="00BB5B4A">
        <w:rPr>
          <w:rFonts w:ascii="Arial" w:hAnsi="Arial" w:cs="Arial"/>
          <w:sz w:val="24"/>
          <w:szCs w:val="24"/>
        </w:rPr>
        <w:t xml:space="preserve"> out brief notes of the progress made </w:t>
      </w:r>
      <w:r w:rsidRPr="00D616DC">
        <w:rPr>
          <w:rFonts w:ascii="Arial" w:hAnsi="Arial" w:cs="Arial"/>
          <w:sz w:val="24"/>
          <w:szCs w:val="24"/>
        </w:rPr>
        <w:t xml:space="preserve">on </w:t>
      </w:r>
      <w:r w:rsidRPr="00A81E73">
        <w:rPr>
          <w:rFonts w:ascii="Arial" w:hAnsi="Arial" w:cs="Arial"/>
          <w:sz w:val="24"/>
          <w:szCs w:val="24"/>
        </w:rPr>
        <w:t>each project</w:t>
      </w:r>
      <w:r w:rsidR="00D95DE6" w:rsidRPr="00A81E73">
        <w:rPr>
          <w:rFonts w:ascii="Arial" w:hAnsi="Arial" w:cs="Arial"/>
          <w:sz w:val="24"/>
          <w:szCs w:val="24"/>
        </w:rPr>
        <w:t xml:space="preserve"> and the outcomes where reviews have been completed</w:t>
      </w:r>
      <w:r w:rsidRPr="00A81E73">
        <w:rPr>
          <w:rFonts w:ascii="Arial" w:hAnsi="Arial" w:cs="Arial"/>
          <w:sz w:val="24"/>
          <w:szCs w:val="24"/>
        </w:rPr>
        <w:t>.</w:t>
      </w:r>
      <w:r w:rsidR="009915F6" w:rsidRPr="00A81E73">
        <w:rPr>
          <w:rFonts w:ascii="Arial" w:hAnsi="Arial" w:cs="Arial"/>
          <w:sz w:val="24"/>
          <w:szCs w:val="24"/>
        </w:rPr>
        <w:t xml:space="preserve"> </w:t>
      </w:r>
      <w:r w:rsidR="00D616DC" w:rsidRPr="00A81E73">
        <w:rPr>
          <w:rFonts w:ascii="Arial" w:hAnsi="Arial" w:cs="Arial"/>
          <w:sz w:val="24"/>
          <w:szCs w:val="24"/>
        </w:rPr>
        <w:t>Brief n</w:t>
      </w:r>
      <w:r w:rsidR="00D008A1" w:rsidRPr="00A81E73">
        <w:rPr>
          <w:rFonts w:ascii="Arial" w:hAnsi="Arial" w:cs="Arial"/>
          <w:sz w:val="24"/>
          <w:szCs w:val="24"/>
        </w:rPr>
        <w:t>otes on the outcomes of the</w:t>
      </w:r>
      <w:r w:rsidR="00D008A1" w:rsidRPr="00D616DC">
        <w:rPr>
          <w:rFonts w:ascii="Arial" w:hAnsi="Arial" w:cs="Arial"/>
          <w:sz w:val="24"/>
          <w:szCs w:val="24"/>
        </w:rPr>
        <w:t xml:space="preserve"> reviews completed are set out </w:t>
      </w:r>
      <w:r w:rsidR="00A81E73">
        <w:rPr>
          <w:rFonts w:ascii="Arial" w:hAnsi="Arial" w:cs="Arial"/>
          <w:sz w:val="24"/>
          <w:szCs w:val="24"/>
        </w:rPr>
        <w:t xml:space="preserve">in section 3 </w:t>
      </w:r>
      <w:r w:rsidR="00D008A1" w:rsidRPr="00D616DC">
        <w:rPr>
          <w:rFonts w:ascii="Arial" w:hAnsi="Arial" w:cs="Arial"/>
          <w:sz w:val="24"/>
          <w:szCs w:val="24"/>
        </w:rPr>
        <w:t>below</w:t>
      </w:r>
      <w:r w:rsidR="009915F6" w:rsidRPr="00D616DC">
        <w:rPr>
          <w:rFonts w:ascii="Arial" w:hAnsi="Arial" w:cs="Arial"/>
          <w:sz w:val="24"/>
          <w:szCs w:val="24"/>
        </w:rPr>
        <w:t>.</w:t>
      </w:r>
    </w:p>
    <w:p w14:paraId="347BB0E8" w14:textId="77777777" w:rsidR="00BB5B4A" w:rsidRDefault="000A6706" w:rsidP="00BB5B4A">
      <w:pPr>
        <w:pStyle w:val="ListParagraph"/>
        <w:numPr>
          <w:ilvl w:val="0"/>
          <w:numId w:val="24"/>
        </w:numPr>
        <w:tabs>
          <w:tab w:val="clear" w:pos="851"/>
        </w:tabs>
        <w:spacing w:before="120" w:after="120" w:line="240" w:lineRule="auto"/>
        <w:ind w:left="567" w:hanging="567"/>
        <w:rPr>
          <w:rFonts w:ascii="Arial" w:hAnsi="Arial" w:cs="Arial"/>
          <w:b/>
          <w:sz w:val="28"/>
          <w:szCs w:val="28"/>
        </w:rPr>
      </w:pPr>
      <w:r w:rsidRPr="000A6706">
        <w:rPr>
          <w:rFonts w:ascii="Arial" w:hAnsi="Arial" w:cs="Arial"/>
          <w:b/>
          <w:sz w:val="28"/>
          <w:szCs w:val="28"/>
        </w:rPr>
        <w:t xml:space="preserve">Amendment to the </w:t>
      </w:r>
      <w:r w:rsidR="003F7DAB">
        <w:rPr>
          <w:rFonts w:ascii="Arial" w:hAnsi="Arial" w:cs="Arial"/>
          <w:b/>
          <w:sz w:val="28"/>
          <w:szCs w:val="28"/>
        </w:rPr>
        <w:t xml:space="preserve">internal </w:t>
      </w:r>
      <w:r w:rsidRPr="000A6706">
        <w:rPr>
          <w:rFonts w:ascii="Arial" w:hAnsi="Arial" w:cs="Arial"/>
          <w:b/>
          <w:sz w:val="28"/>
          <w:szCs w:val="28"/>
        </w:rPr>
        <w:t>audit plan for the year</w:t>
      </w:r>
    </w:p>
    <w:p w14:paraId="083E8043" w14:textId="77777777" w:rsidR="00020245" w:rsidRPr="00020245" w:rsidRDefault="00BB5B4A" w:rsidP="00020245">
      <w:pPr>
        <w:pStyle w:val="ListParagraph"/>
        <w:numPr>
          <w:ilvl w:val="1"/>
          <w:numId w:val="24"/>
        </w:numPr>
        <w:tabs>
          <w:tab w:val="clear" w:pos="851"/>
        </w:tabs>
        <w:spacing w:before="120" w:after="120" w:line="240" w:lineRule="auto"/>
        <w:ind w:left="567" w:hanging="567"/>
        <w:rPr>
          <w:rFonts w:ascii="Arial" w:hAnsi="Arial" w:cs="Arial"/>
          <w:sz w:val="24"/>
          <w:szCs w:val="24"/>
        </w:rPr>
      </w:pPr>
      <w:r w:rsidRPr="00BB5B4A">
        <w:rPr>
          <w:rFonts w:ascii="Arial" w:hAnsi="Arial" w:cs="Arial"/>
          <w:sz w:val="24"/>
          <w:szCs w:val="24"/>
        </w:rPr>
        <w:t>The provisional audit plan for the year was considered by the Audit and Governance Committee in June 2014</w:t>
      </w:r>
      <w:r w:rsidR="004D6ED2">
        <w:rPr>
          <w:rFonts w:ascii="Arial" w:hAnsi="Arial" w:cs="Arial"/>
          <w:sz w:val="24"/>
          <w:szCs w:val="24"/>
        </w:rPr>
        <w:t xml:space="preserve"> and the Internal Audit team began that work as the previous year's work was completed</w:t>
      </w:r>
      <w:r w:rsidR="00BA1014">
        <w:rPr>
          <w:rFonts w:ascii="Arial" w:hAnsi="Arial" w:cs="Arial"/>
          <w:sz w:val="24"/>
          <w:szCs w:val="24"/>
        </w:rPr>
        <w:t>. The c</w:t>
      </w:r>
      <w:r w:rsidR="009C3469">
        <w:rPr>
          <w:rFonts w:ascii="Arial" w:hAnsi="Arial" w:cs="Arial"/>
          <w:sz w:val="24"/>
          <w:szCs w:val="24"/>
        </w:rPr>
        <w:t>ommittee</w:t>
      </w:r>
      <w:r w:rsidR="00020245">
        <w:rPr>
          <w:rFonts w:ascii="Arial" w:hAnsi="Arial" w:cs="Arial"/>
          <w:sz w:val="24"/>
          <w:szCs w:val="24"/>
        </w:rPr>
        <w:t xml:space="preserve"> considered the annual audit report for 2013/14</w:t>
      </w:r>
      <w:r w:rsidR="009C3469">
        <w:rPr>
          <w:rFonts w:ascii="Arial" w:hAnsi="Arial" w:cs="Arial"/>
          <w:sz w:val="24"/>
          <w:szCs w:val="24"/>
        </w:rPr>
        <w:t xml:space="preserve"> </w:t>
      </w:r>
      <w:r w:rsidR="000B1E3A">
        <w:rPr>
          <w:rFonts w:ascii="Arial" w:hAnsi="Arial" w:cs="Arial"/>
          <w:sz w:val="24"/>
          <w:szCs w:val="24"/>
        </w:rPr>
        <w:t xml:space="preserve">in </w:t>
      </w:r>
      <w:r w:rsidR="00020245">
        <w:rPr>
          <w:rFonts w:ascii="Arial" w:hAnsi="Arial" w:cs="Arial"/>
          <w:sz w:val="24"/>
          <w:szCs w:val="24"/>
        </w:rPr>
        <w:t>September</w:t>
      </w:r>
      <w:r w:rsidR="00A72128">
        <w:rPr>
          <w:rFonts w:ascii="Arial" w:hAnsi="Arial" w:cs="Arial"/>
          <w:sz w:val="24"/>
          <w:szCs w:val="24"/>
        </w:rPr>
        <w:t xml:space="preserve"> 2014, and t</w:t>
      </w:r>
      <w:r w:rsidR="004D6ED2">
        <w:rPr>
          <w:rFonts w:ascii="Arial" w:hAnsi="Arial" w:cs="Arial"/>
          <w:sz w:val="24"/>
          <w:szCs w:val="24"/>
        </w:rPr>
        <w:t>he</w:t>
      </w:r>
      <w:r w:rsidR="00200C83" w:rsidRPr="00BB5B4A">
        <w:rPr>
          <w:rFonts w:ascii="Arial" w:hAnsi="Arial" w:cs="Arial"/>
          <w:sz w:val="24"/>
          <w:szCs w:val="24"/>
        </w:rPr>
        <w:t xml:space="preserve"> Management Team is keen to rectify the control weaknesses</w:t>
      </w:r>
      <w:r w:rsidR="00200C83">
        <w:rPr>
          <w:rFonts w:ascii="Arial" w:hAnsi="Arial" w:cs="Arial"/>
          <w:sz w:val="24"/>
          <w:szCs w:val="24"/>
        </w:rPr>
        <w:t xml:space="preserve"> identified</w:t>
      </w:r>
      <w:r w:rsidR="004D6ED2">
        <w:rPr>
          <w:rFonts w:ascii="Arial" w:hAnsi="Arial" w:cs="Arial"/>
          <w:sz w:val="24"/>
          <w:szCs w:val="24"/>
        </w:rPr>
        <w:t xml:space="preserve"> in </w:t>
      </w:r>
      <w:r w:rsidR="009C3469">
        <w:rPr>
          <w:rFonts w:ascii="Arial" w:hAnsi="Arial" w:cs="Arial"/>
          <w:sz w:val="24"/>
          <w:szCs w:val="24"/>
        </w:rPr>
        <w:t>t</w:t>
      </w:r>
      <w:r w:rsidR="004D6ED2">
        <w:rPr>
          <w:rFonts w:ascii="Arial" w:hAnsi="Arial" w:cs="Arial"/>
          <w:sz w:val="24"/>
          <w:szCs w:val="24"/>
        </w:rPr>
        <w:t>hat report</w:t>
      </w:r>
      <w:r w:rsidR="00200C83" w:rsidRPr="00BB5B4A">
        <w:rPr>
          <w:rFonts w:ascii="Arial" w:hAnsi="Arial" w:cs="Arial"/>
          <w:sz w:val="24"/>
          <w:szCs w:val="24"/>
        </w:rPr>
        <w:t xml:space="preserve"> and to ensure that </w:t>
      </w:r>
      <w:r w:rsidR="004D6ED2">
        <w:rPr>
          <w:rFonts w:ascii="Arial" w:hAnsi="Arial" w:cs="Arial"/>
          <w:sz w:val="24"/>
          <w:szCs w:val="24"/>
        </w:rPr>
        <w:t xml:space="preserve">the council's internal </w:t>
      </w:r>
      <w:r w:rsidR="00200C83" w:rsidRPr="00BB5B4A">
        <w:rPr>
          <w:rFonts w:ascii="Arial" w:hAnsi="Arial" w:cs="Arial"/>
          <w:sz w:val="24"/>
          <w:szCs w:val="24"/>
        </w:rPr>
        <w:t xml:space="preserve">controls are adequately designed and </w:t>
      </w:r>
      <w:r w:rsidR="00200C83">
        <w:rPr>
          <w:rFonts w:ascii="Arial" w:hAnsi="Arial" w:cs="Arial"/>
          <w:sz w:val="24"/>
          <w:szCs w:val="24"/>
        </w:rPr>
        <w:t>operating</w:t>
      </w:r>
      <w:r w:rsidR="00200C83" w:rsidRPr="00BB5B4A">
        <w:rPr>
          <w:rFonts w:ascii="Arial" w:hAnsi="Arial" w:cs="Arial"/>
          <w:sz w:val="24"/>
          <w:szCs w:val="24"/>
        </w:rPr>
        <w:t xml:space="preserve"> </w:t>
      </w:r>
      <w:r w:rsidR="00200C83">
        <w:rPr>
          <w:rFonts w:ascii="Arial" w:hAnsi="Arial" w:cs="Arial"/>
          <w:sz w:val="24"/>
          <w:szCs w:val="24"/>
        </w:rPr>
        <w:t>effectively</w:t>
      </w:r>
      <w:r w:rsidR="004D6ED2">
        <w:rPr>
          <w:rFonts w:ascii="Arial" w:hAnsi="Arial" w:cs="Arial"/>
          <w:sz w:val="24"/>
          <w:szCs w:val="24"/>
        </w:rPr>
        <w:t xml:space="preserve">, and sought </w:t>
      </w:r>
      <w:r w:rsidR="00BA1014">
        <w:rPr>
          <w:rFonts w:ascii="Arial" w:hAnsi="Arial" w:cs="Arial"/>
          <w:sz w:val="24"/>
          <w:szCs w:val="24"/>
        </w:rPr>
        <w:t xml:space="preserve">the </w:t>
      </w:r>
      <w:r w:rsidR="004D6ED2">
        <w:rPr>
          <w:rFonts w:ascii="Arial" w:hAnsi="Arial" w:cs="Arial"/>
          <w:sz w:val="24"/>
          <w:szCs w:val="24"/>
        </w:rPr>
        <w:t>Internal Audit</w:t>
      </w:r>
      <w:r w:rsidR="00BA1014">
        <w:rPr>
          <w:rFonts w:ascii="Arial" w:hAnsi="Arial" w:cs="Arial"/>
          <w:sz w:val="24"/>
          <w:szCs w:val="24"/>
        </w:rPr>
        <w:t xml:space="preserve"> Service</w:t>
      </w:r>
      <w:r w:rsidR="004D6ED2">
        <w:rPr>
          <w:rFonts w:ascii="Arial" w:hAnsi="Arial" w:cs="Arial"/>
          <w:sz w:val="24"/>
          <w:szCs w:val="24"/>
        </w:rPr>
        <w:t>'s cooperation and support.</w:t>
      </w:r>
    </w:p>
    <w:p w14:paraId="60CB44DB" w14:textId="77777777" w:rsidR="00200C83" w:rsidRPr="00200C83" w:rsidRDefault="00020245" w:rsidP="005C65C9">
      <w:pPr>
        <w:pStyle w:val="ListParagraph"/>
        <w:numPr>
          <w:ilvl w:val="1"/>
          <w:numId w:val="24"/>
        </w:numPr>
        <w:tabs>
          <w:tab w:val="clear" w:pos="851"/>
        </w:tabs>
        <w:spacing w:before="120" w:after="120" w:line="240" w:lineRule="auto"/>
        <w:ind w:left="567" w:hanging="567"/>
        <w:rPr>
          <w:rFonts w:ascii="Arial" w:hAnsi="Arial" w:cs="Arial"/>
          <w:sz w:val="24"/>
          <w:szCs w:val="24"/>
        </w:rPr>
      </w:pPr>
      <w:r w:rsidRPr="00200C83">
        <w:rPr>
          <w:rFonts w:ascii="Arial" w:hAnsi="Arial" w:cs="Arial"/>
          <w:sz w:val="24"/>
          <w:szCs w:val="24"/>
        </w:rPr>
        <w:t>Therefore,</w:t>
      </w:r>
      <w:r w:rsidR="00BB5B4A" w:rsidRPr="00200C83">
        <w:rPr>
          <w:rFonts w:ascii="Arial" w:hAnsi="Arial" w:cs="Arial"/>
          <w:sz w:val="24"/>
          <w:szCs w:val="24"/>
        </w:rPr>
        <w:t xml:space="preserve"> since September 2014</w:t>
      </w:r>
      <w:r w:rsidR="00200C83" w:rsidRPr="00200C83">
        <w:rPr>
          <w:rFonts w:ascii="Arial" w:hAnsi="Arial" w:cs="Arial"/>
          <w:sz w:val="24"/>
          <w:szCs w:val="24"/>
        </w:rPr>
        <w:t xml:space="preserve"> at the Management Team's request</w:t>
      </w:r>
      <w:r w:rsidR="009C3469">
        <w:rPr>
          <w:rFonts w:ascii="Arial" w:hAnsi="Arial" w:cs="Arial"/>
          <w:sz w:val="24"/>
          <w:szCs w:val="24"/>
        </w:rPr>
        <w:t>,</w:t>
      </w:r>
      <w:r w:rsidR="00BB5B4A" w:rsidRPr="00200C83">
        <w:rPr>
          <w:rFonts w:ascii="Arial" w:hAnsi="Arial" w:cs="Arial"/>
          <w:sz w:val="24"/>
          <w:szCs w:val="24"/>
        </w:rPr>
        <w:t xml:space="preserve"> internal audit work has been strongly focussed on following up </w:t>
      </w:r>
      <w:r w:rsidR="00200C83" w:rsidRPr="00200C83">
        <w:rPr>
          <w:rFonts w:ascii="Arial" w:hAnsi="Arial" w:cs="Arial"/>
          <w:sz w:val="24"/>
          <w:szCs w:val="24"/>
        </w:rPr>
        <w:t xml:space="preserve">the </w:t>
      </w:r>
      <w:r w:rsidR="00BB5B4A" w:rsidRPr="00200C83">
        <w:rPr>
          <w:rFonts w:ascii="Arial" w:hAnsi="Arial" w:cs="Arial"/>
          <w:sz w:val="24"/>
          <w:szCs w:val="24"/>
        </w:rPr>
        <w:t xml:space="preserve">action </w:t>
      </w:r>
      <w:r w:rsidR="00200C83" w:rsidRPr="00200C83">
        <w:rPr>
          <w:rFonts w:ascii="Arial" w:hAnsi="Arial" w:cs="Arial"/>
          <w:sz w:val="24"/>
          <w:szCs w:val="24"/>
        </w:rPr>
        <w:t xml:space="preserve">taken </w:t>
      </w:r>
      <w:r w:rsidR="004D6ED2">
        <w:rPr>
          <w:rFonts w:ascii="Arial" w:hAnsi="Arial" w:cs="Arial"/>
          <w:sz w:val="24"/>
          <w:szCs w:val="24"/>
        </w:rPr>
        <w:t xml:space="preserve">by </w:t>
      </w:r>
      <w:r w:rsidR="004D6ED2" w:rsidRPr="00200C83">
        <w:rPr>
          <w:rFonts w:ascii="Arial" w:hAnsi="Arial" w:cs="Arial"/>
          <w:sz w:val="24"/>
          <w:szCs w:val="24"/>
        </w:rPr>
        <w:t>the council's senior management teams</w:t>
      </w:r>
      <w:r w:rsidR="004D6ED2">
        <w:rPr>
          <w:rFonts w:ascii="Arial" w:hAnsi="Arial" w:cs="Arial"/>
          <w:sz w:val="24"/>
          <w:szCs w:val="24"/>
        </w:rPr>
        <w:t xml:space="preserve"> </w:t>
      </w:r>
      <w:r w:rsidR="00BB5B4A" w:rsidRPr="00200C83">
        <w:rPr>
          <w:rFonts w:ascii="Arial" w:hAnsi="Arial" w:cs="Arial"/>
          <w:sz w:val="24"/>
          <w:szCs w:val="24"/>
        </w:rPr>
        <w:t xml:space="preserve">to improve controls over the </w:t>
      </w:r>
      <w:r w:rsidR="00D616DC">
        <w:rPr>
          <w:rFonts w:ascii="Arial" w:hAnsi="Arial" w:cs="Arial"/>
          <w:sz w:val="24"/>
          <w:szCs w:val="24"/>
        </w:rPr>
        <w:t xml:space="preserve">key </w:t>
      </w:r>
      <w:r w:rsidR="00BB5B4A" w:rsidRPr="00200C83">
        <w:rPr>
          <w:rFonts w:ascii="Arial" w:hAnsi="Arial" w:cs="Arial"/>
          <w:sz w:val="24"/>
          <w:szCs w:val="24"/>
        </w:rPr>
        <w:t>areas of high and moderate</w:t>
      </w:r>
      <w:r w:rsidR="004D6ED2">
        <w:rPr>
          <w:rFonts w:ascii="Arial" w:hAnsi="Arial" w:cs="Arial"/>
          <w:sz w:val="24"/>
          <w:szCs w:val="24"/>
        </w:rPr>
        <w:t xml:space="preserve"> risk identified during 2013/14</w:t>
      </w:r>
      <w:r w:rsidR="00BB5B4A" w:rsidRPr="00200C83">
        <w:rPr>
          <w:rFonts w:ascii="Arial" w:hAnsi="Arial" w:cs="Arial"/>
          <w:sz w:val="24"/>
          <w:szCs w:val="24"/>
        </w:rPr>
        <w:t xml:space="preserve">. </w:t>
      </w:r>
      <w:r w:rsidR="005F4866" w:rsidRPr="00200C83">
        <w:rPr>
          <w:rFonts w:ascii="Arial" w:hAnsi="Arial" w:cs="Arial"/>
          <w:sz w:val="24"/>
          <w:szCs w:val="24"/>
        </w:rPr>
        <w:t xml:space="preserve">To </w:t>
      </w:r>
      <w:r w:rsidR="00200C83" w:rsidRPr="00200C83">
        <w:rPr>
          <w:rFonts w:ascii="Arial" w:hAnsi="Arial" w:cs="Arial"/>
          <w:sz w:val="24"/>
          <w:szCs w:val="24"/>
        </w:rPr>
        <w:t xml:space="preserve">facilitate this controls improvement and audit process at a time when </w:t>
      </w:r>
      <w:r w:rsidR="005F4866" w:rsidRPr="00200C83">
        <w:rPr>
          <w:rFonts w:ascii="Arial" w:hAnsi="Arial" w:cs="Arial"/>
          <w:sz w:val="24"/>
          <w:szCs w:val="24"/>
        </w:rPr>
        <w:t xml:space="preserve">management </w:t>
      </w:r>
      <w:r w:rsidR="00200C83" w:rsidRPr="00200C83">
        <w:rPr>
          <w:rFonts w:ascii="Arial" w:hAnsi="Arial" w:cs="Arial"/>
          <w:sz w:val="24"/>
          <w:szCs w:val="24"/>
        </w:rPr>
        <w:t xml:space="preserve">faces </w:t>
      </w:r>
      <w:r w:rsidR="005F4866" w:rsidRPr="00200C83">
        <w:rPr>
          <w:rFonts w:ascii="Arial" w:hAnsi="Arial" w:cs="Arial"/>
          <w:sz w:val="24"/>
          <w:szCs w:val="24"/>
        </w:rPr>
        <w:t xml:space="preserve">so many other challenging issues, the </w:t>
      </w:r>
      <w:r w:rsidR="004D6ED2">
        <w:rPr>
          <w:rFonts w:ascii="Arial" w:hAnsi="Arial" w:cs="Arial"/>
          <w:sz w:val="24"/>
          <w:szCs w:val="24"/>
        </w:rPr>
        <w:t xml:space="preserve">rest of the internal </w:t>
      </w:r>
      <w:r w:rsidR="005F4866" w:rsidRPr="00200C83">
        <w:rPr>
          <w:rFonts w:ascii="Arial" w:hAnsi="Arial" w:cs="Arial"/>
          <w:sz w:val="24"/>
          <w:szCs w:val="24"/>
        </w:rPr>
        <w:t xml:space="preserve">audit plan has been </w:t>
      </w:r>
      <w:r w:rsidR="009C3469">
        <w:rPr>
          <w:rFonts w:ascii="Arial" w:hAnsi="Arial" w:cs="Arial"/>
          <w:sz w:val="24"/>
          <w:szCs w:val="24"/>
        </w:rPr>
        <w:t xml:space="preserve">reduced in scale. The </w:t>
      </w:r>
      <w:r w:rsidR="005F4866" w:rsidRPr="00200C83">
        <w:rPr>
          <w:rFonts w:ascii="Arial" w:hAnsi="Arial" w:cs="Arial"/>
          <w:sz w:val="24"/>
          <w:szCs w:val="24"/>
        </w:rPr>
        <w:t xml:space="preserve">key focus of the team's work for the year will be </w:t>
      </w:r>
      <w:r w:rsidR="009C3469">
        <w:rPr>
          <w:rFonts w:ascii="Arial" w:hAnsi="Arial" w:cs="Arial"/>
          <w:sz w:val="24"/>
          <w:szCs w:val="24"/>
        </w:rPr>
        <w:t xml:space="preserve">on confirming that appropriate action has been taken to rectify </w:t>
      </w:r>
      <w:r w:rsidR="00A81E73">
        <w:rPr>
          <w:rFonts w:ascii="Arial" w:hAnsi="Arial" w:cs="Arial"/>
          <w:sz w:val="24"/>
          <w:szCs w:val="24"/>
        </w:rPr>
        <w:t xml:space="preserve">the </w:t>
      </w:r>
      <w:r w:rsidR="009C3469">
        <w:rPr>
          <w:rFonts w:ascii="Arial" w:hAnsi="Arial" w:cs="Arial"/>
          <w:sz w:val="24"/>
          <w:szCs w:val="24"/>
        </w:rPr>
        <w:t>control weaknesses</w:t>
      </w:r>
      <w:r w:rsidR="00A81E73">
        <w:rPr>
          <w:rFonts w:ascii="Arial" w:hAnsi="Arial" w:cs="Arial"/>
          <w:sz w:val="24"/>
          <w:szCs w:val="24"/>
        </w:rPr>
        <w:t xml:space="preserve"> identified</w:t>
      </w:r>
      <w:r w:rsidR="009C3469">
        <w:rPr>
          <w:rFonts w:ascii="Arial" w:hAnsi="Arial" w:cs="Arial"/>
          <w:sz w:val="24"/>
          <w:szCs w:val="24"/>
        </w:rPr>
        <w:t>, and on re</w:t>
      </w:r>
      <w:r w:rsidR="008403BF">
        <w:rPr>
          <w:rFonts w:ascii="Arial" w:hAnsi="Arial" w:cs="Arial"/>
          <w:sz w:val="24"/>
          <w:szCs w:val="24"/>
        </w:rPr>
        <w:t>-auditing</w:t>
      </w:r>
      <w:r w:rsidR="005F4866" w:rsidRPr="00200C83">
        <w:rPr>
          <w:rFonts w:ascii="Arial" w:hAnsi="Arial" w:cs="Arial"/>
          <w:sz w:val="24"/>
          <w:szCs w:val="24"/>
        </w:rPr>
        <w:t xml:space="preserve"> these controls as improvements are implemented. </w:t>
      </w:r>
    </w:p>
    <w:p w14:paraId="711D8070" w14:textId="77777777" w:rsidR="00200C83" w:rsidRPr="00082BE9" w:rsidRDefault="00200C83" w:rsidP="00200C83">
      <w:pPr>
        <w:pStyle w:val="ListParagraph"/>
        <w:numPr>
          <w:ilvl w:val="1"/>
          <w:numId w:val="24"/>
        </w:numPr>
        <w:tabs>
          <w:tab w:val="clear" w:pos="851"/>
        </w:tabs>
        <w:spacing w:before="120" w:after="120" w:line="240" w:lineRule="auto"/>
        <w:ind w:left="567" w:hanging="567"/>
        <w:rPr>
          <w:rFonts w:ascii="Arial" w:hAnsi="Arial" w:cs="Arial"/>
          <w:sz w:val="24"/>
          <w:szCs w:val="24"/>
        </w:rPr>
      </w:pPr>
      <w:r w:rsidRPr="00082BE9">
        <w:rPr>
          <w:rFonts w:ascii="Arial" w:hAnsi="Arial" w:cs="Arial"/>
          <w:sz w:val="24"/>
          <w:szCs w:val="24"/>
        </w:rPr>
        <w:t>One of the two Audit Managers has been seconded out of the team to work more directly with manage</w:t>
      </w:r>
      <w:r w:rsidR="009C3469" w:rsidRPr="00082BE9">
        <w:rPr>
          <w:rFonts w:ascii="Arial" w:hAnsi="Arial" w:cs="Arial"/>
          <w:sz w:val="24"/>
          <w:szCs w:val="24"/>
        </w:rPr>
        <w:t>rs</w:t>
      </w:r>
      <w:r w:rsidRPr="00082BE9">
        <w:rPr>
          <w:rFonts w:ascii="Arial" w:hAnsi="Arial" w:cs="Arial"/>
          <w:sz w:val="24"/>
          <w:szCs w:val="24"/>
        </w:rPr>
        <w:t xml:space="preserve"> to ensure that appropriate control frameworks are implemented. </w:t>
      </w:r>
      <w:r w:rsidR="008403BF" w:rsidRPr="00082BE9">
        <w:rPr>
          <w:rFonts w:ascii="Arial" w:hAnsi="Arial" w:cs="Arial"/>
          <w:sz w:val="24"/>
          <w:szCs w:val="24"/>
        </w:rPr>
        <w:t>Internal a</w:t>
      </w:r>
      <w:r w:rsidRPr="00082BE9">
        <w:rPr>
          <w:rFonts w:ascii="Arial" w:hAnsi="Arial" w:cs="Arial"/>
          <w:sz w:val="24"/>
          <w:szCs w:val="24"/>
        </w:rPr>
        <w:t xml:space="preserve">udit work </w:t>
      </w:r>
      <w:r w:rsidR="000B1E3A">
        <w:rPr>
          <w:rFonts w:ascii="Arial" w:hAnsi="Arial" w:cs="Arial"/>
          <w:sz w:val="24"/>
          <w:szCs w:val="24"/>
        </w:rPr>
        <w:t xml:space="preserve">will </w:t>
      </w:r>
      <w:r w:rsidR="00576074">
        <w:rPr>
          <w:rFonts w:ascii="Arial" w:hAnsi="Arial" w:cs="Arial"/>
          <w:sz w:val="24"/>
          <w:szCs w:val="24"/>
        </w:rPr>
        <w:t>follow when the work is complete, to consider whether appropriate action has been taken to rectify the control weaknesses identified</w:t>
      </w:r>
      <w:r w:rsidRPr="00082BE9">
        <w:rPr>
          <w:rFonts w:ascii="Arial" w:hAnsi="Arial" w:cs="Arial"/>
          <w:sz w:val="24"/>
          <w:szCs w:val="24"/>
        </w:rPr>
        <w:t>.</w:t>
      </w:r>
      <w:r w:rsidR="009C3469" w:rsidRPr="00082BE9">
        <w:rPr>
          <w:rFonts w:ascii="Arial" w:hAnsi="Arial" w:cs="Arial"/>
          <w:sz w:val="24"/>
          <w:szCs w:val="24"/>
        </w:rPr>
        <w:t xml:space="preserve"> Audit work </w:t>
      </w:r>
      <w:r w:rsidR="00250114" w:rsidRPr="00082BE9">
        <w:rPr>
          <w:rFonts w:ascii="Arial" w:hAnsi="Arial" w:cs="Arial"/>
          <w:sz w:val="24"/>
          <w:szCs w:val="24"/>
        </w:rPr>
        <w:t>therefore beg</w:t>
      </w:r>
      <w:r w:rsidR="00BA1014" w:rsidRPr="00082BE9">
        <w:rPr>
          <w:rFonts w:ascii="Arial" w:hAnsi="Arial" w:cs="Arial"/>
          <w:sz w:val="24"/>
          <w:szCs w:val="24"/>
        </w:rPr>
        <w:t>an early in January 2015</w:t>
      </w:r>
      <w:r w:rsidR="009C3469" w:rsidRPr="00082BE9">
        <w:rPr>
          <w:rFonts w:ascii="Arial" w:hAnsi="Arial" w:cs="Arial"/>
          <w:sz w:val="24"/>
          <w:szCs w:val="24"/>
        </w:rPr>
        <w:t xml:space="preserve"> </w:t>
      </w:r>
      <w:r w:rsidR="00250114" w:rsidRPr="00082BE9">
        <w:rPr>
          <w:rFonts w:ascii="Arial" w:hAnsi="Arial" w:cs="Arial"/>
          <w:sz w:val="24"/>
          <w:szCs w:val="24"/>
        </w:rPr>
        <w:t xml:space="preserve">to address </w:t>
      </w:r>
      <w:r w:rsidR="00BA1014" w:rsidRPr="00082BE9">
        <w:rPr>
          <w:rFonts w:ascii="Arial" w:hAnsi="Arial" w:cs="Arial"/>
          <w:sz w:val="24"/>
          <w:szCs w:val="24"/>
        </w:rPr>
        <w:t xml:space="preserve">the corporate information governance arrangements, </w:t>
      </w:r>
      <w:r w:rsidR="00082BE9" w:rsidRPr="00082BE9">
        <w:rPr>
          <w:rFonts w:ascii="Arial" w:hAnsi="Arial" w:cs="Arial"/>
          <w:sz w:val="24"/>
          <w:szCs w:val="24"/>
        </w:rPr>
        <w:t xml:space="preserve">central procurement, initial assessment for </w:t>
      </w:r>
      <w:r w:rsidR="00BA1014" w:rsidRPr="00082BE9">
        <w:rPr>
          <w:rFonts w:ascii="Arial" w:hAnsi="Arial" w:cs="Arial"/>
          <w:sz w:val="24"/>
          <w:szCs w:val="24"/>
        </w:rPr>
        <w:t xml:space="preserve">direct payments in ASHW and </w:t>
      </w:r>
      <w:r w:rsidR="00250114" w:rsidRPr="00082BE9">
        <w:rPr>
          <w:rFonts w:ascii="Arial" w:hAnsi="Arial" w:cs="Arial"/>
          <w:sz w:val="24"/>
          <w:szCs w:val="24"/>
        </w:rPr>
        <w:t>the case file audit process within CYP</w:t>
      </w:r>
      <w:r w:rsidR="00F97020" w:rsidRPr="00082BE9">
        <w:rPr>
          <w:rFonts w:ascii="Arial" w:hAnsi="Arial" w:cs="Arial"/>
          <w:sz w:val="24"/>
          <w:szCs w:val="24"/>
        </w:rPr>
        <w:t>.</w:t>
      </w:r>
      <w:r w:rsidR="008403BF" w:rsidRPr="00082BE9">
        <w:rPr>
          <w:rFonts w:ascii="Arial" w:hAnsi="Arial" w:cs="Arial"/>
          <w:sz w:val="24"/>
          <w:szCs w:val="24"/>
        </w:rPr>
        <w:t xml:space="preserve"> </w:t>
      </w:r>
    </w:p>
    <w:p w14:paraId="13D544B2" w14:textId="77777777" w:rsidR="00200C83" w:rsidRPr="00082BE9" w:rsidRDefault="00200C83" w:rsidP="00200C83">
      <w:pPr>
        <w:pStyle w:val="ListParagraph"/>
        <w:numPr>
          <w:ilvl w:val="1"/>
          <w:numId w:val="24"/>
        </w:numPr>
        <w:tabs>
          <w:tab w:val="clear" w:pos="851"/>
        </w:tabs>
        <w:spacing w:before="120" w:after="120" w:line="240" w:lineRule="auto"/>
        <w:ind w:left="567" w:hanging="567"/>
        <w:rPr>
          <w:rFonts w:ascii="Arial" w:hAnsi="Arial" w:cs="Arial"/>
          <w:sz w:val="24"/>
          <w:szCs w:val="24"/>
        </w:rPr>
      </w:pPr>
      <w:r w:rsidRPr="00082BE9">
        <w:rPr>
          <w:rFonts w:ascii="Arial" w:hAnsi="Arial" w:cs="Arial"/>
          <w:sz w:val="24"/>
          <w:szCs w:val="24"/>
        </w:rPr>
        <w:t>In addition</w:t>
      </w:r>
      <w:r w:rsidR="00131FBF" w:rsidRPr="00082BE9">
        <w:rPr>
          <w:rFonts w:ascii="Arial" w:hAnsi="Arial" w:cs="Arial"/>
          <w:sz w:val="24"/>
          <w:szCs w:val="24"/>
        </w:rPr>
        <w:t xml:space="preserve"> to</w:t>
      </w:r>
      <w:r w:rsidR="00131FBF">
        <w:rPr>
          <w:rFonts w:ascii="Arial" w:hAnsi="Arial" w:cs="Arial"/>
          <w:sz w:val="24"/>
          <w:szCs w:val="24"/>
        </w:rPr>
        <w:t xml:space="preserve"> this work</w:t>
      </w:r>
      <w:r>
        <w:rPr>
          <w:rFonts w:ascii="Arial" w:hAnsi="Arial" w:cs="Arial"/>
          <w:sz w:val="24"/>
          <w:szCs w:val="24"/>
        </w:rPr>
        <w:t>, a</w:t>
      </w:r>
      <w:r w:rsidR="005F4866">
        <w:rPr>
          <w:rFonts w:ascii="Arial" w:hAnsi="Arial" w:cs="Arial"/>
          <w:sz w:val="24"/>
          <w:szCs w:val="24"/>
        </w:rPr>
        <w:t xml:space="preserve">udits will </w:t>
      </w:r>
      <w:r>
        <w:rPr>
          <w:rFonts w:ascii="Arial" w:hAnsi="Arial" w:cs="Arial"/>
          <w:sz w:val="24"/>
          <w:szCs w:val="24"/>
        </w:rPr>
        <w:t xml:space="preserve">be undertaken </w:t>
      </w:r>
      <w:r w:rsidR="008403BF">
        <w:rPr>
          <w:rFonts w:ascii="Arial" w:hAnsi="Arial" w:cs="Arial"/>
          <w:sz w:val="24"/>
          <w:szCs w:val="24"/>
        </w:rPr>
        <w:t>of the council's key financial systems and t</w:t>
      </w:r>
      <w:r>
        <w:rPr>
          <w:rFonts w:ascii="Arial" w:hAnsi="Arial" w:cs="Arial"/>
          <w:sz w:val="24"/>
          <w:szCs w:val="24"/>
        </w:rPr>
        <w:t>his work is on-going</w:t>
      </w:r>
      <w:r w:rsidR="003F7DAB">
        <w:rPr>
          <w:rFonts w:ascii="Arial" w:hAnsi="Arial" w:cs="Arial"/>
          <w:sz w:val="24"/>
          <w:szCs w:val="24"/>
        </w:rPr>
        <w:t xml:space="preserve">. However </w:t>
      </w:r>
      <w:r w:rsidR="000B1E3A">
        <w:rPr>
          <w:rFonts w:ascii="Arial" w:hAnsi="Arial" w:cs="Arial"/>
          <w:sz w:val="24"/>
          <w:szCs w:val="24"/>
        </w:rPr>
        <w:t xml:space="preserve">the Internal Audit Service is still working with </w:t>
      </w:r>
      <w:r w:rsidR="00082BE9">
        <w:rPr>
          <w:rFonts w:ascii="Arial" w:hAnsi="Arial" w:cs="Arial"/>
          <w:sz w:val="24"/>
          <w:szCs w:val="24"/>
        </w:rPr>
        <w:t xml:space="preserve">management </w:t>
      </w:r>
      <w:r w:rsidR="000B1E3A">
        <w:rPr>
          <w:rFonts w:ascii="Arial" w:hAnsi="Arial" w:cs="Arial"/>
          <w:sz w:val="24"/>
          <w:szCs w:val="24"/>
        </w:rPr>
        <w:t>to ensure that</w:t>
      </w:r>
      <w:r w:rsidR="00082BE9">
        <w:rPr>
          <w:rFonts w:ascii="Arial" w:hAnsi="Arial" w:cs="Arial"/>
          <w:sz w:val="24"/>
          <w:szCs w:val="24"/>
        </w:rPr>
        <w:t xml:space="preserve"> remedial action is being taken</w:t>
      </w:r>
      <w:r w:rsidR="000B1E3A">
        <w:rPr>
          <w:rFonts w:ascii="Arial" w:hAnsi="Arial" w:cs="Arial"/>
          <w:sz w:val="24"/>
          <w:szCs w:val="24"/>
        </w:rPr>
        <w:t xml:space="preserve"> to enhance </w:t>
      </w:r>
      <w:r w:rsidR="00082BE9">
        <w:rPr>
          <w:rFonts w:ascii="Arial" w:hAnsi="Arial" w:cs="Arial"/>
          <w:sz w:val="24"/>
          <w:szCs w:val="24"/>
        </w:rPr>
        <w:t xml:space="preserve">internal controls over </w:t>
      </w:r>
      <w:r w:rsidR="000B1E3A">
        <w:rPr>
          <w:rFonts w:ascii="Arial" w:hAnsi="Arial" w:cs="Arial"/>
          <w:sz w:val="24"/>
          <w:szCs w:val="24"/>
        </w:rPr>
        <w:t>the</w:t>
      </w:r>
      <w:r w:rsidR="003A0F49">
        <w:rPr>
          <w:rFonts w:ascii="Arial" w:hAnsi="Arial" w:cs="Arial"/>
          <w:sz w:val="24"/>
          <w:szCs w:val="24"/>
        </w:rPr>
        <w:t xml:space="preserve"> </w:t>
      </w:r>
      <w:r w:rsidRPr="00200C83">
        <w:rPr>
          <w:rFonts w:ascii="Arial" w:hAnsi="Arial" w:cs="Arial"/>
          <w:sz w:val="24"/>
          <w:szCs w:val="24"/>
        </w:rPr>
        <w:t xml:space="preserve">accounts receivable </w:t>
      </w:r>
      <w:r w:rsidR="000B1E3A">
        <w:rPr>
          <w:rFonts w:ascii="Arial" w:hAnsi="Arial" w:cs="Arial"/>
          <w:sz w:val="24"/>
          <w:szCs w:val="24"/>
        </w:rPr>
        <w:t xml:space="preserve">system and </w:t>
      </w:r>
      <w:r w:rsidR="003A0F49">
        <w:rPr>
          <w:rFonts w:ascii="Arial" w:hAnsi="Arial" w:cs="Arial"/>
          <w:sz w:val="24"/>
          <w:szCs w:val="24"/>
        </w:rPr>
        <w:t xml:space="preserve">the front end of the social care accounts payable system </w:t>
      </w:r>
      <w:r w:rsidR="000B1E3A">
        <w:rPr>
          <w:rFonts w:ascii="Arial" w:hAnsi="Arial" w:cs="Arial"/>
          <w:sz w:val="24"/>
          <w:szCs w:val="24"/>
        </w:rPr>
        <w:t xml:space="preserve">and further audit work will not take place on these areas </w:t>
      </w:r>
      <w:r w:rsidR="00082BE9">
        <w:rPr>
          <w:rFonts w:ascii="Arial" w:hAnsi="Arial" w:cs="Arial"/>
          <w:sz w:val="24"/>
          <w:szCs w:val="24"/>
        </w:rPr>
        <w:t>until 2015/16</w:t>
      </w:r>
      <w:r w:rsidR="003F7DAB">
        <w:rPr>
          <w:rFonts w:ascii="Arial" w:hAnsi="Arial" w:cs="Arial"/>
          <w:sz w:val="24"/>
          <w:szCs w:val="24"/>
        </w:rPr>
        <w:t>.</w:t>
      </w:r>
    </w:p>
    <w:p w14:paraId="77B92BD0" w14:textId="77777777" w:rsidR="00C67449" w:rsidRPr="00B241F5" w:rsidRDefault="003F7DAB" w:rsidP="00BB3529">
      <w:pPr>
        <w:pStyle w:val="ListParagraph"/>
        <w:numPr>
          <w:ilvl w:val="1"/>
          <w:numId w:val="24"/>
        </w:numPr>
        <w:tabs>
          <w:tab w:val="clear" w:pos="851"/>
        </w:tabs>
        <w:spacing w:before="120" w:after="120" w:line="240" w:lineRule="auto"/>
        <w:ind w:left="567" w:hanging="567"/>
        <w:rPr>
          <w:rFonts w:ascii="Arial" w:hAnsi="Arial" w:cs="Arial"/>
          <w:sz w:val="24"/>
          <w:szCs w:val="24"/>
        </w:rPr>
      </w:pPr>
      <w:r w:rsidRPr="006E2B0B">
        <w:rPr>
          <w:rFonts w:ascii="Arial" w:hAnsi="Arial" w:cs="Arial"/>
          <w:sz w:val="24"/>
          <w:szCs w:val="24"/>
        </w:rPr>
        <w:lastRenderedPageBreak/>
        <w:t>W</w:t>
      </w:r>
      <w:r w:rsidR="00D3652D" w:rsidRPr="006E2B0B">
        <w:rPr>
          <w:rFonts w:ascii="Arial" w:hAnsi="Arial" w:cs="Arial"/>
          <w:sz w:val="24"/>
          <w:szCs w:val="24"/>
        </w:rPr>
        <w:t xml:space="preserve">here work </w:t>
      </w:r>
      <w:r w:rsidRPr="006E2B0B">
        <w:rPr>
          <w:rFonts w:ascii="Arial" w:hAnsi="Arial" w:cs="Arial"/>
          <w:sz w:val="24"/>
          <w:szCs w:val="24"/>
        </w:rPr>
        <w:t>was</w:t>
      </w:r>
      <w:r w:rsidR="00D3652D" w:rsidRPr="006E2B0B">
        <w:rPr>
          <w:rFonts w:ascii="Arial" w:hAnsi="Arial" w:cs="Arial"/>
          <w:sz w:val="24"/>
          <w:szCs w:val="24"/>
        </w:rPr>
        <w:t xml:space="preserve"> begun in the first part of the year, this has been </w:t>
      </w:r>
      <w:r w:rsidRPr="006E2B0B">
        <w:rPr>
          <w:rFonts w:ascii="Arial" w:hAnsi="Arial" w:cs="Arial"/>
          <w:sz w:val="24"/>
          <w:szCs w:val="24"/>
        </w:rPr>
        <w:t xml:space="preserve">continued and has either been completed, or is </w:t>
      </w:r>
      <w:r w:rsidRPr="00B241F5">
        <w:rPr>
          <w:rFonts w:ascii="Arial" w:hAnsi="Arial" w:cs="Arial"/>
          <w:sz w:val="24"/>
          <w:szCs w:val="24"/>
        </w:rPr>
        <w:t>subject only to a report being agreed.</w:t>
      </w:r>
      <w:r w:rsidR="00131FBF" w:rsidRPr="00B241F5">
        <w:rPr>
          <w:rFonts w:ascii="Arial" w:hAnsi="Arial" w:cs="Arial"/>
          <w:sz w:val="24"/>
          <w:szCs w:val="24"/>
        </w:rPr>
        <w:t xml:space="preserve"> We have issued</w:t>
      </w:r>
      <w:r w:rsidR="006E2B0B" w:rsidRPr="00B241F5">
        <w:rPr>
          <w:rFonts w:ascii="Arial" w:hAnsi="Arial" w:cs="Arial"/>
          <w:sz w:val="24"/>
          <w:szCs w:val="24"/>
        </w:rPr>
        <w:t xml:space="preserve"> </w:t>
      </w:r>
      <w:r w:rsidR="00131FBF" w:rsidRPr="00B241F5">
        <w:rPr>
          <w:rFonts w:ascii="Arial" w:hAnsi="Arial" w:cs="Arial"/>
          <w:sz w:val="24"/>
          <w:szCs w:val="24"/>
        </w:rPr>
        <w:t xml:space="preserve">reports </w:t>
      </w:r>
      <w:r w:rsidR="00B241F5" w:rsidRPr="00B241F5">
        <w:rPr>
          <w:rFonts w:ascii="Arial" w:hAnsi="Arial" w:cs="Arial"/>
          <w:sz w:val="24"/>
          <w:szCs w:val="24"/>
        </w:rPr>
        <w:t xml:space="preserve">(some still in draft) </w:t>
      </w:r>
      <w:r w:rsidR="006E2B0B" w:rsidRPr="00B241F5">
        <w:rPr>
          <w:rFonts w:ascii="Arial" w:hAnsi="Arial" w:cs="Arial"/>
          <w:sz w:val="24"/>
          <w:szCs w:val="24"/>
        </w:rPr>
        <w:t xml:space="preserve">on </w:t>
      </w:r>
      <w:r w:rsidR="00C67449" w:rsidRPr="00B241F5">
        <w:rPr>
          <w:rFonts w:ascii="Arial" w:hAnsi="Arial" w:cs="Arial"/>
          <w:sz w:val="24"/>
          <w:szCs w:val="24"/>
        </w:rPr>
        <w:t xml:space="preserve">the areas noted in section </w:t>
      </w:r>
      <w:r w:rsidR="00685611" w:rsidRPr="00B241F5">
        <w:rPr>
          <w:rFonts w:ascii="Arial" w:hAnsi="Arial" w:cs="Arial"/>
          <w:sz w:val="24"/>
          <w:szCs w:val="24"/>
        </w:rPr>
        <w:t>3</w:t>
      </w:r>
      <w:r w:rsidR="00C67449" w:rsidRPr="00B241F5">
        <w:rPr>
          <w:rFonts w:ascii="Arial" w:hAnsi="Arial" w:cs="Arial"/>
          <w:sz w:val="24"/>
          <w:szCs w:val="24"/>
        </w:rPr>
        <w:t xml:space="preserve"> below</w:t>
      </w:r>
      <w:r w:rsidR="006E2B0B" w:rsidRPr="00B241F5">
        <w:rPr>
          <w:rFonts w:ascii="Arial" w:hAnsi="Arial" w:cs="Arial"/>
          <w:sz w:val="24"/>
          <w:szCs w:val="24"/>
        </w:rPr>
        <w:t xml:space="preserve"> and, where key controls have been assessed as less than adequate and effective, </w:t>
      </w:r>
      <w:r w:rsidR="00576074">
        <w:rPr>
          <w:rFonts w:ascii="Arial" w:hAnsi="Arial" w:cs="Arial"/>
          <w:sz w:val="24"/>
          <w:szCs w:val="24"/>
        </w:rPr>
        <w:t xml:space="preserve">management action is being focussed to improve the control framework and </w:t>
      </w:r>
      <w:r w:rsidR="006E2B0B" w:rsidRPr="00B241F5">
        <w:rPr>
          <w:rFonts w:ascii="Arial" w:hAnsi="Arial" w:cs="Arial"/>
          <w:sz w:val="24"/>
          <w:szCs w:val="24"/>
        </w:rPr>
        <w:t>we</w:t>
      </w:r>
      <w:r w:rsidR="00D616DC" w:rsidRPr="00B241F5">
        <w:rPr>
          <w:rFonts w:ascii="Arial" w:hAnsi="Arial" w:cs="Arial"/>
          <w:sz w:val="24"/>
          <w:szCs w:val="24"/>
        </w:rPr>
        <w:t xml:space="preserve"> intend</w:t>
      </w:r>
      <w:r w:rsidR="006E2B0B" w:rsidRPr="00B241F5">
        <w:rPr>
          <w:rFonts w:ascii="Arial" w:hAnsi="Arial" w:cs="Arial"/>
          <w:sz w:val="24"/>
          <w:szCs w:val="24"/>
        </w:rPr>
        <w:t xml:space="preserve"> to re-audit these before the year end.</w:t>
      </w:r>
    </w:p>
    <w:p w14:paraId="15D2D1E3" w14:textId="77777777" w:rsidR="00FF1583" w:rsidRDefault="00FF1583" w:rsidP="00BB5B4A">
      <w:pPr>
        <w:pStyle w:val="ListParagraph"/>
        <w:numPr>
          <w:ilvl w:val="1"/>
          <w:numId w:val="24"/>
        </w:numPr>
        <w:tabs>
          <w:tab w:val="clear" w:pos="851"/>
        </w:tabs>
        <w:spacing w:before="120" w:after="120" w:line="240" w:lineRule="auto"/>
        <w:ind w:left="567" w:hanging="567"/>
        <w:rPr>
          <w:rFonts w:ascii="Arial" w:hAnsi="Arial" w:cs="Arial"/>
          <w:sz w:val="24"/>
          <w:szCs w:val="24"/>
        </w:rPr>
      </w:pPr>
      <w:r w:rsidRPr="00B241F5">
        <w:rPr>
          <w:rFonts w:ascii="Arial" w:hAnsi="Arial" w:cs="Arial"/>
          <w:sz w:val="24"/>
          <w:szCs w:val="24"/>
        </w:rPr>
        <w:t>Work to assess financial controls in the county's schools</w:t>
      </w:r>
      <w:r>
        <w:rPr>
          <w:rFonts w:ascii="Arial" w:hAnsi="Arial" w:cs="Arial"/>
          <w:sz w:val="24"/>
          <w:szCs w:val="24"/>
        </w:rPr>
        <w:t xml:space="preserve"> will continue, and the Internal Audit Service will continue to provide a counter fraud and investigatory service to support management. Work </w:t>
      </w:r>
      <w:r w:rsidR="00AE297D">
        <w:rPr>
          <w:rFonts w:ascii="Arial" w:hAnsi="Arial" w:cs="Arial"/>
          <w:sz w:val="24"/>
          <w:szCs w:val="24"/>
        </w:rPr>
        <w:t xml:space="preserve">has begun </w:t>
      </w:r>
      <w:r w:rsidR="006E2B0B">
        <w:rPr>
          <w:rFonts w:ascii="Arial" w:hAnsi="Arial" w:cs="Arial"/>
          <w:sz w:val="24"/>
          <w:szCs w:val="24"/>
        </w:rPr>
        <w:t>on</w:t>
      </w:r>
      <w:r w:rsidR="00AE297D">
        <w:rPr>
          <w:rFonts w:ascii="Arial" w:hAnsi="Arial" w:cs="Arial"/>
          <w:sz w:val="24"/>
          <w:szCs w:val="24"/>
        </w:rPr>
        <w:t xml:space="preserve"> </w:t>
      </w:r>
      <w:r>
        <w:rPr>
          <w:rFonts w:ascii="Arial" w:hAnsi="Arial" w:cs="Arial"/>
          <w:sz w:val="24"/>
          <w:szCs w:val="24"/>
        </w:rPr>
        <w:t xml:space="preserve">the </w:t>
      </w:r>
      <w:r w:rsidR="00AE297D">
        <w:rPr>
          <w:rFonts w:ascii="Arial" w:hAnsi="Arial" w:cs="Arial"/>
          <w:sz w:val="24"/>
          <w:szCs w:val="24"/>
        </w:rPr>
        <w:t xml:space="preserve">data collection exercise for the next </w:t>
      </w:r>
      <w:r>
        <w:rPr>
          <w:rFonts w:ascii="Arial" w:hAnsi="Arial" w:cs="Arial"/>
          <w:sz w:val="24"/>
          <w:szCs w:val="24"/>
        </w:rPr>
        <w:t>National Fraud Initiative.</w:t>
      </w:r>
    </w:p>
    <w:p w14:paraId="53CAA6BD" w14:textId="77777777" w:rsidR="006E2B0B" w:rsidRPr="00151640" w:rsidRDefault="003F7DAB" w:rsidP="00A372BD">
      <w:pPr>
        <w:pStyle w:val="ListParagraph"/>
        <w:numPr>
          <w:ilvl w:val="1"/>
          <w:numId w:val="24"/>
        </w:numPr>
        <w:tabs>
          <w:tab w:val="clear" w:pos="851"/>
        </w:tabs>
        <w:spacing w:before="120" w:after="120" w:line="240" w:lineRule="auto"/>
        <w:ind w:left="567" w:hanging="567"/>
        <w:rPr>
          <w:rFonts w:ascii="Arial" w:hAnsi="Arial" w:cs="Arial"/>
          <w:sz w:val="24"/>
          <w:szCs w:val="24"/>
        </w:rPr>
      </w:pPr>
      <w:r w:rsidRPr="00151640">
        <w:rPr>
          <w:rFonts w:ascii="Arial" w:hAnsi="Arial" w:cs="Arial"/>
          <w:sz w:val="24"/>
          <w:szCs w:val="24"/>
        </w:rPr>
        <w:t xml:space="preserve">A revised audit plan is </w:t>
      </w:r>
      <w:r w:rsidR="00DE2D3A" w:rsidRPr="00151640">
        <w:rPr>
          <w:rFonts w:ascii="Arial" w:hAnsi="Arial" w:cs="Arial"/>
          <w:sz w:val="24"/>
          <w:szCs w:val="24"/>
        </w:rPr>
        <w:t xml:space="preserve">set out at </w:t>
      </w:r>
      <w:r w:rsidR="00DE2D3A" w:rsidRPr="00B241F5">
        <w:rPr>
          <w:rFonts w:ascii="Arial" w:hAnsi="Arial" w:cs="Arial"/>
          <w:sz w:val="24"/>
          <w:szCs w:val="24"/>
        </w:rPr>
        <w:t>Appendix B, listing</w:t>
      </w:r>
      <w:r w:rsidR="00DE2D3A" w:rsidRPr="00151640">
        <w:rPr>
          <w:rFonts w:ascii="Arial" w:hAnsi="Arial" w:cs="Arial"/>
          <w:sz w:val="24"/>
          <w:szCs w:val="24"/>
        </w:rPr>
        <w:t xml:space="preserve"> each of the areas that will be subject to internal audit work in 2014/15</w:t>
      </w:r>
      <w:r w:rsidR="00B241F5">
        <w:rPr>
          <w:rFonts w:ascii="Arial" w:hAnsi="Arial" w:cs="Arial"/>
          <w:sz w:val="24"/>
          <w:szCs w:val="24"/>
        </w:rPr>
        <w:t>, and which are regarded as key by the Management Team</w:t>
      </w:r>
      <w:r w:rsidR="00DE2D3A" w:rsidRPr="00151640">
        <w:rPr>
          <w:rFonts w:ascii="Arial" w:hAnsi="Arial" w:cs="Arial"/>
          <w:sz w:val="24"/>
          <w:szCs w:val="24"/>
        </w:rPr>
        <w:t>.</w:t>
      </w:r>
      <w:r w:rsidR="00151640" w:rsidRPr="00151640">
        <w:rPr>
          <w:rFonts w:ascii="Arial" w:hAnsi="Arial" w:cs="Arial"/>
          <w:sz w:val="24"/>
          <w:szCs w:val="24"/>
        </w:rPr>
        <w:t xml:space="preserve"> </w:t>
      </w:r>
      <w:r w:rsidR="006E2B0B" w:rsidRPr="00151640">
        <w:rPr>
          <w:rFonts w:ascii="Arial" w:hAnsi="Arial" w:cs="Arial"/>
          <w:sz w:val="24"/>
          <w:szCs w:val="24"/>
        </w:rPr>
        <w:t>The annual report for 2014/15 will be brought to the Audit and Governance Committee in June 2015 and the overall opinion will be framed in terms of the trajectory of controls improvement</w:t>
      </w:r>
      <w:r w:rsidR="00151640" w:rsidRPr="00151640">
        <w:rPr>
          <w:rFonts w:ascii="Arial" w:hAnsi="Arial" w:cs="Arial"/>
          <w:sz w:val="24"/>
          <w:szCs w:val="24"/>
        </w:rPr>
        <w:t>.</w:t>
      </w:r>
    </w:p>
    <w:p w14:paraId="206B801F" w14:textId="77777777" w:rsidR="003360FE" w:rsidRPr="003360FE" w:rsidRDefault="003360FE" w:rsidP="00BB5B4A">
      <w:pPr>
        <w:pStyle w:val="ListParagraph"/>
        <w:numPr>
          <w:ilvl w:val="0"/>
          <w:numId w:val="24"/>
        </w:numPr>
        <w:tabs>
          <w:tab w:val="clear" w:pos="851"/>
        </w:tabs>
        <w:spacing w:before="120" w:after="120" w:line="240" w:lineRule="auto"/>
        <w:ind w:left="567" w:hanging="567"/>
        <w:rPr>
          <w:rFonts w:ascii="Arial" w:hAnsi="Arial" w:cs="Arial"/>
          <w:b/>
          <w:sz w:val="28"/>
          <w:szCs w:val="28"/>
        </w:rPr>
      </w:pPr>
      <w:r w:rsidRPr="003360FE">
        <w:rPr>
          <w:rFonts w:ascii="Arial" w:hAnsi="Arial" w:cs="Arial"/>
          <w:b/>
          <w:sz w:val="28"/>
          <w:szCs w:val="28"/>
        </w:rPr>
        <w:t>Work completed</w:t>
      </w:r>
    </w:p>
    <w:p w14:paraId="571EE879" w14:textId="77777777" w:rsidR="001A5599" w:rsidRPr="007865BD" w:rsidRDefault="00C07432" w:rsidP="007865BD">
      <w:pPr>
        <w:pStyle w:val="ListParagraph"/>
        <w:numPr>
          <w:ilvl w:val="1"/>
          <w:numId w:val="24"/>
        </w:numPr>
        <w:tabs>
          <w:tab w:val="clear" w:pos="851"/>
        </w:tabs>
        <w:spacing w:before="120" w:after="120" w:line="240" w:lineRule="auto"/>
        <w:ind w:left="567" w:hanging="567"/>
        <w:rPr>
          <w:rFonts w:ascii="Arial" w:hAnsi="Arial" w:cs="Arial"/>
          <w:sz w:val="24"/>
          <w:szCs w:val="24"/>
        </w:rPr>
      </w:pPr>
      <w:r>
        <w:rPr>
          <w:rFonts w:ascii="Arial" w:hAnsi="Arial" w:cs="Arial"/>
          <w:sz w:val="24"/>
          <w:szCs w:val="24"/>
        </w:rPr>
        <w:t>T</w:t>
      </w:r>
      <w:r w:rsidR="00183B6F">
        <w:rPr>
          <w:rFonts w:ascii="Arial" w:hAnsi="Arial" w:cs="Arial"/>
          <w:sz w:val="24"/>
          <w:szCs w:val="24"/>
        </w:rPr>
        <w:t xml:space="preserve">he work </w:t>
      </w:r>
      <w:r w:rsidR="00151640">
        <w:rPr>
          <w:rFonts w:ascii="Arial" w:hAnsi="Arial" w:cs="Arial"/>
          <w:sz w:val="24"/>
          <w:szCs w:val="24"/>
        </w:rPr>
        <w:t xml:space="preserve">begun in the first part of the year and now </w:t>
      </w:r>
      <w:r w:rsidR="00183B6F">
        <w:rPr>
          <w:rFonts w:ascii="Arial" w:hAnsi="Arial" w:cs="Arial"/>
          <w:sz w:val="24"/>
          <w:szCs w:val="24"/>
        </w:rPr>
        <w:t>completed</w:t>
      </w:r>
      <w:r w:rsidR="00151640">
        <w:rPr>
          <w:rFonts w:ascii="Arial" w:hAnsi="Arial" w:cs="Arial"/>
          <w:sz w:val="24"/>
          <w:szCs w:val="24"/>
        </w:rPr>
        <w:t>,</w:t>
      </w:r>
      <w:r w:rsidR="003360FE">
        <w:rPr>
          <w:rFonts w:ascii="Arial" w:hAnsi="Arial" w:cs="Arial"/>
          <w:sz w:val="24"/>
          <w:szCs w:val="24"/>
        </w:rPr>
        <w:t xml:space="preserve"> and on which reports have been issued</w:t>
      </w:r>
      <w:r w:rsidR="00151640">
        <w:rPr>
          <w:rFonts w:ascii="Arial" w:hAnsi="Arial" w:cs="Arial"/>
          <w:sz w:val="24"/>
          <w:szCs w:val="24"/>
        </w:rPr>
        <w:t>,</w:t>
      </w:r>
      <w:r w:rsidR="00E81C4C">
        <w:rPr>
          <w:rFonts w:ascii="Arial" w:hAnsi="Arial" w:cs="Arial"/>
          <w:sz w:val="24"/>
          <w:szCs w:val="24"/>
        </w:rPr>
        <w:t xml:space="preserve"> is </w:t>
      </w:r>
      <w:r w:rsidR="002A4256">
        <w:rPr>
          <w:rFonts w:ascii="Arial" w:hAnsi="Arial" w:cs="Arial"/>
          <w:sz w:val="24"/>
          <w:szCs w:val="24"/>
        </w:rPr>
        <w:t xml:space="preserve">set out in the table below. Each area has been given a </w:t>
      </w:r>
      <w:r w:rsidR="00EA0433">
        <w:rPr>
          <w:rFonts w:ascii="Arial" w:hAnsi="Arial" w:cs="Arial"/>
          <w:sz w:val="24"/>
          <w:szCs w:val="24"/>
        </w:rPr>
        <w:t xml:space="preserve">subjective </w:t>
      </w:r>
      <w:r w:rsidR="002A4256">
        <w:rPr>
          <w:rFonts w:ascii="Arial" w:hAnsi="Arial" w:cs="Arial"/>
          <w:sz w:val="24"/>
          <w:szCs w:val="24"/>
        </w:rPr>
        <w:t>weighting to indicate the degree of risk associated with it.</w:t>
      </w:r>
    </w:p>
    <w:tbl>
      <w:tblPr>
        <w:tblStyle w:val="TableGrid"/>
        <w:tblW w:w="8755" w:type="dxa"/>
        <w:tblInd w:w="567" w:type="dxa"/>
        <w:tblLook w:val="04A0" w:firstRow="1" w:lastRow="0" w:firstColumn="1" w:lastColumn="0" w:noHBand="0" w:noVBand="1"/>
      </w:tblPr>
      <w:tblGrid>
        <w:gridCol w:w="3369"/>
        <w:gridCol w:w="1842"/>
        <w:gridCol w:w="3544"/>
      </w:tblGrid>
      <w:tr w:rsidR="000F7DE4" w:rsidRPr="009E1533" w14:paraId="47C7F77D" w14:textId="77777777" w:rsidTr="00D4604A">
        <w:trPr>
          <w:tblHeader/>
        </w:trPr>
        <w:tc>
          <w:tcPr>
            <w:tcW w:w="3369" w:type="dxa"/>
            <w:tcBorders>
              <w:bottom w:val="single" w:sz="4" w:space="0" w:color="auto"/>
            </w:tcBorders>
            <w:shd w:val="clear" w:color="auto" w:fill="D9D9D9" w:themeFill="background1" w:themeFillShade="D9"/>
          </w:tcPr>
          <w:p w14:paraId="57C9412C" w14:textId="77777777" w:rsidR="000F7DE4" w:rsidRPr="009E1533" w:rsidRDefault="00F92B5D" w:rsidP="00EB29C7">
            <w:pPr>
              <w:spacing w:before="60" w:after="60" w:line="240" w:lineRule="auto"/>
              <w:rPr>
                <w:rFonts w:ascii="Arial" w:hAnsi="Arial" w:cs="Arial"/>
                <w:b/>
                <w:sz w:val="22"/>
                <w:szCs w:val="22"/>
              </w:rPr>
            </w:pPr>
            <w:r w:rsidRPr="009E1533">
              <w:rPr>
                <w:rFonts w:ascii="Arial" w:hAnsi="Arial" w:cs="Arial"/>
                <w:sz w:val="22"/>
                <w:szCs w:val="22"/>
              </w:rPr>
              <w:br w:type="page"/>
            </w:r>
            <w:r w:rsidR="000F7DE4" w:rsidRPr="009E1533">
              <w:rPr>
                <w:rFonts w:ascii="Arial" w:hAnsi="Arial" w:cs="Arial"/>
                <w:b/>
                <w:sz w:val="22"/>
                <w:szCs w:val="22"/>
              </w:rPr>
              <w:t>Audit area</w:t>
            </w:r>
          </w:p>
        </w:tc>
        <w:tc>
          <w:tcPr>
            <w:tcW w:w="1842" w:type="dxa"/>
            <w:tcBorders>
              <w:bottom w:val="single" w:sz="4" w:space="0" w:color="auto"/>
            </w:tcBorders>
            <w:shd w:val="clear" w:color="auto" w:fill="D9D9D9" w:themeFill="background1" w:themeFillShade="D9"/>
          </w:tcPr>
          <w:p w14:paraId="5ED61F4E" w14:textId="77777777" w:rsidR="000F7DE4" w:rsidRPr="00093DFC" w:rsidRDefault="007B1E24" w:rsidP="007B1E24">
            <w:pPr>
              <w:spacing w:before="60" w:after="60" w:line="240" w:lineRule="auto"/>
              <w:rPr>
                <w:rFonts w:ascii="Arial" w:hAnsi="Arial" w:cs="Arial"/>
                <w:b/>
                <w:sz w:val="22"/>
                <w:szCs w:val="22"/>
              </w:rPr>
            </w:pPr>
            <w:r w:rsidRPr="00093DFC">
              <w:rPr>
                <w:rFonts w:ascii="Arial" w:hAnsi="Arial" w:cs="Arial"/>
                <w:b/>
                <w:sz w:val="22"/>
                <w:szCs w:val="22"/>
              </w:rPr>
              <w:t>Risk w</w:t>
            </w:r>
            <w:r w:rsidR="000F7DE4" w:rsidRPr="00093DFC">
              <w:rPr>
                <w:rFonts w:ascii="Arial" w:hAnsi="Arial" w:cs="Arial"/>
                <w:b/>
                <w:sz w:val="22"/>
                <w:szCs w:val="22"/>
              </w:rPr>
              <w:t>eighting</w:t>
            </w:r>
          </w:p>
        </w:tc>
        <w:tc>
          <w:tcPr>
            <w:tcW w:w="3544" w:type="dxa"/>
            <w:tcBorders>
              <w:bottom w:val="single" w:sz="4" w:space="0" w:color="auto"/>
            </w:tcBorders>
            <w:shd w:val="clear" w:color="auto" w:fill="D9D9D9" w:themeFill="background1" w:themeFillShade="D9"/>
          </w:tcPr>
          <w:p w14:paraId="577BE9DF" w14:textId="77777777" w:rsidR="000F7DE4" w:rsidRPr="00093DFC" w:rsidRDefault="00093DFC" w:rsidP="00110C82">
            <w:pPr>
              <w:spacing w:before="60" w:after="60" w:line="240" w:lineRule="auto"/>
              <w:rPr>
                <w:rFonts w:ascii="Arial" w:hAnsi="Arial" w:cs="Arial"/>
                <w:b/>
                <w:sz w:val="22"/>
                <w:szCs w:val="22"/>
              </w:rPr>
            </w:pPr>
            <w:r w:rsidRPr="00093DFC">
              <w:rPr>
                <w:rFonts w:ascii="Arial" w:hAnsi="Arial" w:cs="Arial"/>
                <w:b/>
                <w:sz w:val="22"/>
                <w:szCs w:val="22"/>
              </w:rPr>
              <w:t>A</w:t>
            </w:r>
            <w:r w:rsidR="000617E6" w:rsidRPr="00093DFC">
              <w:rPr>
                <w:rFonts w:ascii="Arial" w:hAnsi="Arial" w:cs="Arial"/>
                <w:b/>
                <w:sz w:val="22"/>
                <w:szCs w:val="22"/>
              </w:rPr>
              <w:t>s</w:t>
            </w:r>
            <w:r w:rsidR="000F7DE4" w:rsidRPr="00093DFC">
              <w:rPr>
                <w:rFonts w:ascii="Arial" w:hAnsi="Arial" w:cs="Arial"/>
                <w:b/>
                <w:sz w:val="22"/>
                <w:szCs w:val="22"/>
              </w:rPr>
              <w:t>surance</w:t>
            </w:r>
            <w:r w:rsidR="000617E6" w:rsidRPr="00093DFC">
              <w:rPr>
                <w:rFonts w:ascii="Arial" w:hAnsi="Arial" w:cs="Arial"/>
                <w:b/>
                <w:sz w:val="22"/>
                <w:szCs w:val="22"/>
              </w:rPr>
              <w:t xml:space="preserve"> </w:t>
            </w:r>
            <w:r w:rsidR="00110C82">
              <w:rPr>
                <w:rFonts w:ascii="Arial" w:hAnsi="Arial" w:cs="Arial"/>
                <w:b/>
                <w:sz w:val="22"/>
                <w:szCs w:val="22"/>
              </w:rPr>
              <w:t>provided</w:t>
            </w:r>
          </w:p>
        </w:tc>
      </w:tr>
      <w:tr w:rsidR="006E6D2A" w:rsidRPr="009E1533" w14:paraId="783A0CFA" w14:textId="77777777" w:rsidTr="00D4604A">
        <w:tc>
          <w:tcPr>
            <w:tcW w:w="3369" w:type="dxa"/>
            <w:tcBorders>
              <w:top w:val="single" w:sz="4" w:space="0" w:color="auto"/>
              <w:left w:val="single" w:sz="4" w:space="0" w:color="auto"/>
              <w:bottom w:val="single" w:sz="4" w:space="0" w:color="auto"/>
              <w:right w:val="nil"/>
            </w:tcBorders>
          </w:tcPr>
          <w:p w14:paraId="5D6E4A54" w14:textId="77777777" w:rsidR="006E6D2A" w:rsidRPr="009E1533" w:rsidRDefault="006E6D2A" w:rsidP="000617E6">
            <w:pPr>
              <w:spacing w:before="60" w:after="60" w:line="240" w:lineRule="auto"/>
              <w:rPr>
                <w:rFonts w:ascii="Arial" w:hAnsi="Arial" w:cs="Arial"/>
                <w:b/>
                <w:sz w:val="22"/>
                <w:szCs w:val="22"/>
              </w:rPr>
            </w:pPr>
            <w:r w:rsidRPr="009E1533">
              <w:rPr>
                <w:rFonts w:ascii="Arial" w:hAnsi="Arial" w:cs="Arial"/>
                <w:b/>
                <w:sz w:val="22"/>
                <w:szCs w:val="22"/>
              </w:rPr>
              <w:t>Corporate controls</w:t>
            </w:r>
          </w:p>
        </w:tc>
        <w:tc>
          <w:tcPr>
            <w:tcW w:w="1842" w:type="dxa"/>
            <w:tcBorders>
              <w:top w:val="single" w:sz="4" w:space="0" w:color="auto"/>
              <w:left w:val="nil"/>
              <w:bottom w:val="single" w:sz="4" w:space="0" w:color="auto"/>
              <w:right w:val="nil"/>
            </w:tcBorders>
          </w:tcPr>
          <w:p w14:paraId="6B266323" w14:textId="77777777" w:rsidR="006E6D2A" w:rsidRPr="009E1533" w:rsidRDefault="006E6D2A" w:rsidP="005326EC">
            <w:pPr>
              <w:spacing w:before="60" w:after="60" w:line="240" w:lineRule="auto"/>
              <w:rPr>
                <w:rFonts w:ascii="Arial" w:hAnsi="Arial" w:cs="Arial"/>
                <w:b/>
                <w:sz w:val="22"/>
                <w:szCs w:val="22"/>
              </w:rPr>
            </w:pPr>
          </w:p>
        </w:tc>
        <w:tc>
          <w:tcPr>
            <w:tcW w:w="3544" w:type="dxa"/>
            <w:tcBorders>
              <w:top w:val="single" w:sz="4" w:space="0" w:color="auto"/>
              <w:left w:val="nil"/>
              <w:bottom w:val="single" w:sz="4" w:space="0" w:color="auto"/>
              <w:right w:val="single" w:sz="4" w:space="0" w:color="auto"/>
            </w:tcBorders>
          </w:tcPr>
          <w:p w14:paraId="3AB621C3" w14:textId="77777777" w:rsidR="006E6D2A" w:rsidRPr="009E1533" w:rsidRDefault="006E6D2A" w:rsidP="00EB29C7">
            <w:pPr>
              <w:spacing w:before="60" w:after="60" w:line="240" w:lineRule="auto"/>
              <w:rPr>
                <w:rFonts w:ascii="Arial" w:hAnsi="Arial" w:cs="Arial"/>
                <w:b/>
                <w:sz w:val="22"/>
                <w:szCs w:val="22"/>
              </w:rPr>
            </w:pPr>
          </w:p>
        </w:tc>
      </w:tr>
      <w:tr w:rsidR="00C67449" w:rsidRPr="009E1533" w14:paraId="7D1B78DC" w14:textId="77777777" w:rsidTr="00D4604A">
        <w:tc>
          <w:tcPr>
            <w:tcW w:w="3369" w:type="dxa"/>
            <w:tcBorders>
              <w:top w:val="single" w:sz="4" w:space="0" w:color="auto"/>
              <w:bottom w:val="single" w:sz="4" w:space="0" w:color="auto"/>
              <w:right w:val="single" w:sz="4" w:space="0" w:color="auto"/>
            </w:tcBorders>
          </w:tcPr>
          <w:p w14:paraId="6610DC89" w14:textId="77777777" w:rsidR="00C67449" w:rsidRPr="009E1533" w:rsidRDefault="00C67449" w:rsidP="00C67449">
            <w:pPr>
              <w:spacing w:before="120" w:after="120" w:line="240" w:lineRule="auto"/>
              <w:rPr>
                <w:rFonts w:ascii="Arial" w:hAnsi="Arial" w:cs="Arial"/>
                <w:sz w:val="22"/>
                <w:szCs w:val="22"/>
              </w:rPr>
            </w:pPr>
            <w:r w:rsidRPr="009E1533">
              <w:rPr>
                <w:rFonts w:ascii="Arial" w:hAnsi="Arial" w:cs="Arial"/>
                <w:sz w:val="22"/>
                <w:szCs w:val="22"/>
              </w:rPr>
              <w:t>Declarations of officers' interests, gifts and hospitality</w:t>
            </w:r>
          </w:p>
        </w:tc>
        <w:tc>
          <w:tcPr>
            <w:tcW w:w="1842" w:type="dxa"/>
            <w:tcBorders>
              <w:top w:val="single" w:sz="4" w:space="0" w:color="auto"/>
              <w:left w:val="single" w:sz="4" w:space="0" w:color="auto"/>
              <w:bottom w:val="single" w:sz="4" w:space="0" w:color="auto"/>
              <w:right w:val="single" w:sz="4" w:space="0" w:color="auto"/>
            </w:tcBorders>
          </w:tcPr>
          <w:p w14:paraId="2FE96E94" w14:textId="77777777" w:rsidR="00C67449" w:rsidRPr="009E1533" w:rsidRDefault="00C67449" w:rsidP="005326EC">
            <w:pPr>
              <w:spacing w:before="60" w:after="60" w:line="240" w:lineRule="auto"/>
              <w:rPr>
                <w:rFonts w:ascii="Arial" w:hAnsi="Arial" w:cs="Arial"/>
                <w:sz w:val="22"/>
                <w:szCs w:val="22"/>
              </w:rPr>
            </w:pPr>
            <w:r w:rsidRPr="009E1533">
              <w:rPr>
                <w:rFonts w:ascii="Arial" w:hAnsi="Arial" w:cs="Arial"/>
                <w:sz w:val="22"/>
                <w:szCs w:val="22"/>
              </w:rPr>
              <w:t xml:space="preserve">Low </w:t>
            </w:r>
          </w:p>
          <w:p w14:paraId="2943F271" w14:textId="77777777" w:rsidR="00C67449" w:rsidRPr="009E1533" w:rsidRDefault="00C67449" w:rsidP="005326EC">
            <w:pPr>
              <w:spacing w:before="60" w:after="60" w:line="240" w:lineRule="auto"/>
              <w:rPr>
                <w:rFonts w:ascii="Arial" w:hAnsi="Arial" w:cs="Arial"/>
              </w:rPr>
            </w:pPr>
            <w:r w:rsidRPr="009E1533">
              <w:rPr>
                <w:rFonts w:ascii="Arial" w:hAnsi="Arial" w:cs="Arial"/>
              </w:rPr>
              <w:t>(but with potential reputational risk)</w:t>
            </w:r>
          </w:p>
        </w:tc>
        <w:tc>
          <w:tcPr>
            <w:tcW w:w="3544" w:type="dxa"/>
            <w:tcBorders>
              <w:top w:val="single" w:sz="4" w:space="0" w:color="auto"/>
              <w:left w:val="single" w:sz="4" w:space="0" w:color="auto"/>
              <w:bottom w:val="single" w:sz="4" w:space="0" w:color="auto"/>
            </w:tcBorders>
          </w:tcPr>
          <w:p w14:paraId="2EB8A840" w14:textId="77777777" w:rsidR="00151640" w:rsidRPr="009E1533" w:rsidRDefault="00151640" w:rsidP="00EB29C7">
            <w:pPr>
              <w:spacing w:before="60" w:after="60" w:line="240" w:lineRule="auto"/>
              <w:rPr>
                <w:rFonts w:ascii="Arial" w:hAnsi="Arial" w:cs="Arial"/>
                <w:sz w:val="22"/>
                <w:szCs w:val="22"/>
              </w:rPr>
            </w:pPr>
            <w:r w:rsidRPr="009E1533">
              <w:rPr>
                <w:rFonts w:ascii="Arial" w:hAnsi="Arial" w:cs="Arial"/>
                <w:sz w:val="22"/>
                <w:szCs w:val="22"/>
              </w:rPr>
              <w:t>Substantial (final).</w:t>
            </w:r>
          </w:p>
        </w:tc>
      </w:tr>
      <w:tr w:rsidR="00C67449" w:rsidRPr="009E1533" w14:paraId="2B737AC8" w14:textId="77777777" w:rsidTr="00D4604A">
        <w:tc>
          <w:tcPr>
            <w:tcW w:w="3369" w:type="dxa"/>
            <w:tcBorders>
              <w:top w:val="single" w:sz="4" w:space="0" w:color="auto"/>
              <w:bottom w:val="single" w:sz="4" w:space="0" w:color="auto"/>
              <w:right w:val="single" w:sz="4" w:space="0" w:color="auto"/>
            </w:tcBorders>
          </w:tcPr>
          <w:p w14:paraId="21F8996B" w14:textId="77777777" w:rsidR="00C67449" w:rsidRPr="009E1533" w:rsidRDefault="00C67449" w:rsidP="00C67449">
            <w:pPr>
              <w:spacing w:before="120" w:after="120" w:line="240" w:lineRule="auto"/>
              <w:rPr>
                <w:rFonts w:ascii="Arial" w:hAnsi="Arial" w:cs="Arial"/>
                <w:sz w:val="22"/>
                <w:szCs w:val="22"/>
              </w:rPr>
            </w:pPr>
            <w:r w:rsidRPr="009E1533">
              <w:rPr>
                <w:rFonts w:ascii="Arial" w:hAnsi="Arial" w:cs="Arial"/>
                <w:sz w:val="22"/>
                <w:szCs w:val="22"/>
              </w:rPr>
              <w:t>Members' expenses and allowances</w:t>
            </w:r>
          </w:p>
        </w:tc>
        <w:tc>
          <w:tcPr>
            <w:tcW w:w="1842" w:type="dxa"/>
            <w:tcBorders>
              <w:top w:val="single" w:sz="4" w:space="0" w:color="auto"/>
              <w:left w:val="single" w:sz="4" w:space="0" w:color="auto"/>
              <w:bottom w:val="single" w:sz="4" w:space="0" w:color="auto"/>
              <w:right w:val="single" w:sz="4" w:space="0" w:color="auto"/>
            </w:tcBorders>
          </w:tcPr>
          <w:p w14:paraId="59225D56" w14:textId="77777777" w:rsidR="00C67449" w:rsidRPr="009E1533" w:rsidRDefault="00C67449" w:rsidP="00C67449">
            <w:pPr>
              <w:spacing w:before="60" w:after="60" w:line="240" w:lineRule="auto"/>
              <w:rPr>
                <w:rFonts w:ascii="Arial" w:hAnsi="Arial" w:cs="Arial"/>
                <w:sz w:val="22"/>
                <w:szCs w:val="22"/>
              </w:rPr>
            </w:pPr>
            <w:r w:rsidRPr="009E1533">
              <w:rPr>
                <w:rFonts w:ascii="Arial" w:hAnsi="Arial" w:cs="Arial"/>
                <w:sz w:val="22"/>
                <w:szCs w:val="22"/>
              </w:rPr>
              <w:t xml:space="preserve">Low </w:t>
            </w:r>
          </w:p>
          <w:p w14:paraId="16638051" w14:textId="77777777" w:rsidR="00C67449" w:rsidRPr="009E1533" w:rsidRDefault="00C67449" w:rsidP="00C67449">
            <w:pPr>
              <w:spacing w:before="60" w:after="60" w:line="240" w:lineRule="auto"/>
              <w:rPr>
                <w:rFonts w:ascii="Arial" w:hAnsi="Arial" w:cs="Arial"/>
              </w:rPr>
            </w:pPr>
            <w:r w:rsidRPr="009E1533">
              <w:rPr>
                <w:rFonts w:ascii="Arial" w:hAnsi="Arial" w:cs="Arial"/>
              </w:rPr>
              <w:t>(but with potential reputational risk)</w:t>
            </w:r>
          </w:p>
        </w:tc>
        <w:tc>
          <w:tcPr>
            <w:tcW w:w="3544" w:type="dxa"/>
            <w:tcBorders>
              <w:top w:val="single" w:sz="4" w:space="0" w:color="auto"/>
              <w:left w:val="single" w:sz="4" w:space="0" w:color="auto"/>
              <w:bottom w:val="single" w:sz="4" w:space="0" w:color="auto"/>
            </w:tcBorders>
          </w:tcPr>
          <w:p w14:paraId="023E4F43" w14:textId="77777777" w:rsidR="00C67449" w:rsidRPr="009E1533" w:rsidRDefault="00017765" w:rsidP="00EB29C7">
            <w:pPr>
              <w:spacing w:before="60" w:after="60" w:line="240" w:lineRule="auto"/>
              <w:rPr>
                <w:rFonts w:ascii="Arial" w:hAnsi="Arial" w:cs="Arial"/>
                <w:sz w:val="22"/>
                <w:szCs w:val="22"/>
              </w:rPr>
            </w:pPr>
            <w:r>
              <w:rPr>
                <w:rFonts w:ascii="Arial" w:hAnsi="Arial" w:cs="Arial"/>
                <w:sz w:val="22"/>
                <w:szCs w:val="22"/>
              </w:rPr>
              <w:t>Substantial (draft).</w:t>
            </w:r>
          </w:p>
        </w:tc>
      </w:tr>
      <w:tr w:rsidR="007865BD" w:rsidRPr="009E1533" w14:paraId="61ECDAF2" w14:textId="77777777" w:rsidTr="00D4604A">
        <w:tc>
          <w:tcPr>
            <w:tcW w:w="5211" w:type="dxa"/>
            <w:gridSpan w:val="2"/>
            <w:tcBorders>
              <w:bottom w:val="single" w:sz="4" w:space="0" w:color="auto"/>
              <w:right w:val="nil"/>
            </w:tcBorders>
          </w:tcPr>
          <w:p w14:paraId="083A2267" w14:textId="77777777" w:rsidR="007865BD" w:rsidRPr="009E1533" w:rsidRDefault="007865BD" w:rsidP="005326EC">
            <w:pPr>
              <w:spacing w:before="60" w:after="60" w:line="240" w:lineRule="auto"/>
              <w:rPr>
                <w:rFonts w:ascii="Arial" w:hAnsi="Arial" w:cs="Arial"/>
                <w:b/>
                <w:sz w:val="22"/>
                <w:szCs w:val="22"/>
              </w:rPr>
            </w:pPr>
            <w:r w:rsidRPr="009E1533">
              <w:rPr>
                <w:rFonts w:ascii="Arial" w:hAnsi="Arial" w:cs="Arial"/>
                <w:b/>
                <w:sz w:val="22"/>
                <w:szCs w:val="22"/>
              </w:rPr>
              <w:t>Common controls: financial</w:t>
            </w:r>
          </w:p>
        </w:tc>
        <w:tc>
          <w:tcPr>
            <w:tcW w:w="3544" w:type="dxa"/>
            <w:tcBorders>
              <w:left w:val="nil"/>
              <w:bottom w:val="single" w:sz="4" w:space="0" w:color="auto"/>
            </w:tcBorders>
          </w:tcPr>
          <w:p w14:paraId="3946886F" w14:textId="77777777" w:rsidR="007865BD" w:rsidRPr="009E1533" w:rsidRDefault="007865BD" w:rsidP="00EB29C7">
            <w:pPr>
              <w:spacing w:before="60" w:after="60" w:line="240" w:lineRule="auto"/>
              <w:rPr>
                <w:rFonts w:ascii="Arial" w:hAnsi="Arial" w:cs="Arial"/>
                <w:b/>
                <w:sz w:val="22"/>
                <w:szCs w:val="22"/>
              </w:rPr>
            </w:pPr>
          </w:p>
        </w:tc>
      </w:tr>
      <w:tr w:rsidR="000617E6" w:rsidRPr="009E1533" w14:paraId="72A3E264" w14:textId="77777777" w:rsidTr="00D4604A">
        <w:tc>
          <w:tcPr>
            <w:tcW w:w="3369" w:type="dxa"/>
            <w:tcBorders>
              <w:bottom w:val="single" w:sz="4" w:space="0" w:color="auto"/>
              <w:right w:val="single" w:sz="4" w:space="0" w:color="auto"/>
            </w:tcBorders>
          </w:tcPr>
          <w:p w14:paraId="569860D6" w14:textId="77777777" w:rsidR="000617E6" w:rsidRPr="009E1533" w:rsidRDefault="000617E6" w:rsidP="00812F97">
            <w:pPr>
              <w:spacing w:before="60" w:after="60" w:line="240" w:lineRule="auto"/>
              <w:rPr>
                <w:rFonts w:ascii="Arial" w:hAnsi="Arial" w:cs="Arial"/>
                <w:sz w:val="22"/>
                <w:szCs w:val="22"/>
              </w:rPr>
            </w:pPr>
            <w:r w:rsidRPr="009E1533">
              <w:rPr>
                <w:rFonts w:ascii="Arial" w:hAnsi="Arial" w:cs="Arial"/>
                <w:sz w:val="22"/>
                <w:szCs w:val="22"/>
              </w:rPr>
              <w:t>Expenses</w:t>
            </w:r>
            <w:r w:rsidR="00812F97" w:rsidRPr="009E1533">
              <w:rPr>
                <w:rFonts w:ascii="Arial" w:hAnsi="Arial" w:cs="Arial"/>
                <w:sz w:val="22"/>
                <w:szCs w:val="22"/>
              </w:rPr>
              <w:t xml:space="preserve"> and allowances (work done in the first part of the year)</w:t>
            </w:r>
          </w:p>
        </w:tc>
        <w:tc>
          <w:tcPr>
            <w:tcW w:w="1842" w:type="dxa"/>
            <w:tcBorders>
              <w:left w:val="single" w:sz="4" w:space="0" w:color="auto"/>
              <w:bottom w:val="single" w:sz="4" w:space="0" w:color="auto"/>
              <w:right w:val="single" w:sz="4" w:space="0" w:color="auto"/>
            </w:tcBorders>
          </w:tcPr>
          <w:p w14:paraId="2EC7D34D" w14:textId="77777777" w:rsidR="000617E6" w:rsidRPr="009E1533" w:rsidRDefault="000617E6" w:rsidP="005326EC">
            <w:pPr>
              <w:spacing w:before="60" w:after="60" w:line="240" w:lineRule="auto"/>
              <w:rPr>
                <w:rFonts w:ascii="Arial" w:hAnsi="Arial" w:cs="Arial"/>
                <w:sz w:val="22"/>
                <w:szCs w:val="22"/>
              </w:rPr>
            </w:pPr>
            <w:r w:rsidRPr="009E1533">
              <w:rPr>
                <w:rFonts w:ascii="Arial" w:hAnsi="Arial" w:cs="Arial"/>
                <w:sz w:val="22"/>
                <w:szCs w:val="22"/>
              </w:rPr>
              <w:t>Low</w:t>
            </w:r>
          </w:p>
          <w:p w14:paraId="4301F77B" w14:textId="77777777" w:rsidR="00151640" w:rsidRPr="009E1533" w:rsidRDefault="00151640" w:rsidP="001F6E07">
            <w:pPr>
              <w:spacing w:before="60" w:after="60" w:line="240" w:lineRule="auto"/>
              <w:rPr>
                <w:rFonts w:ascii="Arial" w:hAnsi="Arial" w:cs="Arial"/>
              </w:rPr>
            </w:pPr>
            <w:r w:rsidRPr="009E1533">
              <w:rPr>
                <w:rFonts w:ascii="Arial" w:hAnsi="Arial" w:cs="Arial"/>
              </w:rPr>
              <w:t xml:space="preserve">(but with potential </w:t>
            </w:r>
            <w:r w:rsidR="00110C82">
              <w:rPr>
                <w:rFonts w:ascii="Arial" w:hAnsi="Arial" w:cs="Arial"/>
              </w:rPr>
              <w:t xml:space="preserve">financial </w:t>
            </w:r>
            <w:r w:rsidRPr="009E1533">
              <w:rPr>
                <w:rFonts w:ascii="Arial" w:hAnsi="Arial" w:cs="Arial"/>
              </w:rPr>
              <w:t>risk)</w:t>
            </w:r>
          </w:p>
        </w:tc>
        <w:tc>
          <w:tcPr>
            <w:tcW w:w="3544" w:type="dxa"/>
            <w:tcBorders>
              <w:left w:val="single" w:sz="4" w:space="0" w:color="auto"/>
              <w:bottom w:val="single" w:sz="4" w:space="0" w:color="auto"/>
            </w:tcBorders>
          </w:tcPr>
          <w:p w14:paraId="3D80009A" w14:textId="77777777" w:rsidR="000617E6" w:rsidRPr="009E1533" w:rsidRDefault="000617E6" w:rsidP="00110C82">
            <w:pPr>
              <w:spacing w:before="60" w:after="60" w:line="240" w:lineRule="auto"/>
              <w:rPr>
                <w:rFonts w:ascii="Arial" w:hAnsi="Arial" w:cs="Arial"/>
                <w:sz w:val="22"/>
                <w:szCs w:val="22"/>
              </w:rPr>
            </w:pPr>
            <w:r w:rsidRPr="009E1533">
              <w:rPr>
                <w:rFonts w:ascii="Arial" w:hAnsi="Arial" w:cs="Arial"/>
                <w:sz w:val="22"/>
                <w:szCs w:val="22"/>
              </w:rPr>
              <w:t>Limited</w:t>
            </w:r>
            <w:r w:rsidR="00685611" w:rsidRPr="009E1533">
              <w:rPr>
                <w:rFonts w:ascii="Arial" w:hAnsi="Arial" w:cs="Arial"/>
                <w:sz w:val="22"/>
                <w:szCs w:val="22"/>
              </w:rPr>
              <w:t xml:space="preserve"> (draft).</w:t>
            </w:r>
          </w:p>
        </w:tc>
      </w:tr>
      <w:tr w:rsidR="00110C82" w:rsidRPr="00110C82" w14:paraId="133D9AB7" w14:textId="77777777" w:rsidTr="00D4604A">
        <w:tc>
          <w:tcPr>
            <w:tcW w:w="3369" w:type="dxa"/>
            <w:tcBorders>
              <w:bottom w:val="single" w:sz="4" w:space="0" w:color="auto"/>
              <w:right w:val="single" w:sz="4" w:space="0" w:color="auto"/>
            </w:tcBorders>
          </w:tcPr>
          <w:p w14:paraId="14311D5A" w14:textId="77777777" w:rsidR="001B2684" w:rsidRPr="00110C82" w:rsidRDefault="001B2684" w:rsidP="00812F97">
            <w:pPr>
              <w:spacing w:before="60" w:after="60" w:line="240" w:lineRule="auto"/>
              <w:rPr>
                <w:rFonts w:ascii="Arial" w:hAnsi="Arial" w:cs="Arial"/>
                <w:sz w:val="22"/>
                <w:szCs w:val="22"/>
              </w:rPr>
            </w:pPr>
            <w:r w:rsidRPr="00110C82">
              <w:rPr>
                <w:rFonts w:ascii="Arial" w:hAnsi="Arial" w:cs="Arial"/>
                <w:sz w:val="22"/>
                <w:szCs w:val="22"/>
              </w:rPr>
              <w:t>Additional payments</w:t>
            </w:r>
            <w:r w:rsidR="00151640" w:rsidRPr="00110C82">
              <w:rPr>
                <w:rFonts w:ascii="Arial" w:hAnsi="Arial" w:cs="Arial"/>
                <w:sz w:val="22"/>
                <w:szCs w:val="22"/>
              </w:rPr>
              <w:t xml:space="preserve"> to staff</w:t>
            </w:r>
          </w:p>
        </w:tc>
        <w:tc>
          <w:tcPr>
            <w:tcW w:w="1842" w:type="dxa"/>
            <w:tcBorders>
              <w:left w:val="single" w:sz="4" w:space="0" w:color="auto"/>
              <w:bottom w:val="single" w:sz="4" w:space="0" w:color="auto"/>
              <w:right w:val="single" w:sz="4" w:space="0" w:color="auto"/>
            </w:tcBorders>
          </w:tcPr>
          <w:p w14:paraId="3B3FC576" w14:textId="77777777" w:rsidR="001B2684" w:rsidRPr="00110C82" w:rsidRDefault="001B2684" w:rsidP="005326EC">
            <w:pPr>
              <w:spacing w:before="60" w:after="60" w:line="240" w:lineRule="auto"/>
              <w:rPr>
                <w:rFonts w:ascii="Arial" w:hAnsi="Arial" w:cs="Arial"/>
                <w:sz w:val="22"/>
                <w:szCs w:val="22"/>
              </w:rPr>
            </w:pPr>
            <w:r w:rsidRPr="00110C82">
              <w:rPr>
                <w:rFonts w:ascii="Arial" w:hAnsi="Arial" w:cs="Arial"/>
                <w:sz w:val="22"/>
                <w:szCs w:val="22"/>
              </w:rPr>
              <w:t>Low</w:t>
            </w:r>
          </w:p>
          <w:p w14:paraId="18870973" w14:textId="77777777" w:rsidR="009E1533" w:rsidRPr="00110C82" w:rsidRDefault="00110C82" w:rsidP="001F6E07">
            <w:pPr>
              <w:spacing w:before="60" w:after="60" w:line="240" w:lineRule="auto"/>
              <w:rPr>
                <w:rFonts w:ascii="Arial" w:hAnsi="Arial" w:cs="Arial"/>
                <w:sz w:val="22"/>
                <w:szCs w:val="22"/>
              </w:rPr>
            </w:pPr>
            <w:r w:rsidRPr="00110C82">
              <w:rPr>
                <w:rFonts w:ascii="Arial" w:hAnsi="Arial" w:cs="Arial"/>
              </w:rPr>
              <w:t>(but with potential financial risk)</w:t>
            </w:r>
          </w:p>
        </w:tc>
        <w:tc>
          <w:tcPr>
            <w:tcW w:w="3544" w:type="dxa"/>
            <w:tcBorders>
              <w:left w:val="single" w:sz="4" w:space="0" w:color="auto"/>
              <w:bottom w:val="single" w:sz="4" w:space="0" w:color="auto"/>
            </w:tcBorders>
          </w:tcPr>
          <w:p w14:paraId="0F82427E" w14:textId="77777777" w:rsidR="00110C82" w:rsidRPr="00110C82" w:rsidRDefault="001B2684" w:rsidP="00110C82">
            <w:pPr>
              <w:spacing w:before="60" w:after="60" w:line="240" w:lineRule="auto"/>
              <w:rPr>
                <w:rFonts w:ascii="Arial" w:hAnsi="Arial" w:cs="Arial"/>
                <w:sz w:val="22"/>
                <w:szCs w:val="22"/>
              </w:rPr>
            </w:pPr>
            <w:r w:rsidRPr="00110C82">
              <w:rPr>
                <w:rFonts w:ascii="Arial" w:hAnsi="Arial" w:cs="Arial"/>
                <w:sz w:val="22"/>
                <w:szCs w:val="22"/>
              </w:rPr>
              <w:t>Substantia</w:t>
            </w:r>
            <w:r w:rsidR="00151640" w:rsidRPr="00110C82">
              <w:rPr>
                <w:rFonts w:ascii="Arial" w:hAnsi="Arial" w:cs="Arial"/>
                <w:sz w:val="22"/>
                <w:szCs w:val="22"/>
              </w:rPr>
              <w:t xml:space="preserve">l </w:t>
            </w:r>
            <w:r w:rsidR="002208A3" w:rsidRPr="00110C82">
              <w:rPr>
                <w:rFonts w:ascii="Arial" w:hAnsi="Arial" w:cs="Arial"/>
                <w:sz w:val="22"/>
                <w:szCs w:val="22"/>
              </w:rPr>
              <w:t>(draft).</w:t>
            </w:r>
          </w:p>
        </w:tc>
      </w:tr>
      <w:tr w:rsidR="00D87165" w:rsidRPr="009E1533" w14:paraId="1859B97B" w14:textId="77777777" w:rsidTr="00D4604A">
        <w:tc>
          <w:tcPr>
            <w:tcW w:w="3369" w:type="dxa"/>
            <w:tcBorders>
              <w:top w:val="nil"/>
              <w:right w:val="nil"/>
            </w:tcBorders>
          </w:tcPr>
          <w:p w14:paraId="3D652823" w14:textId="77777777" w:rsidR="000F7DE4" w:rsidRPr="009E1533" w:rsidRDefault="000F7DE4" w:rsidP="00EB29C7">
            <w:pPr>
              <w:spacing w:before="60" w:after="60" w:line="240" w:lineRule="auto"/>
              <w:rPr>
                <w:rFonts w:ascii="Arial" w:hAnsi="Arial" w:cs="Arial"/>
                <w:b/>
                <w:sz w:val="22"/>
                <w:szCs w:val="22"/>
              </w:rPr>
            </w:pPr>
            <w:r w:rsidRPr="009E1533">
              <w:rPr>
                <w:rFonts w:ascii="Arial" w:hAnsi="Arial" w:cs="Arial"/>
                <w:b/>
                <w:sz w:val="22"/>
                <w:szCs w:val="22"/>
              </w:rPr>
              <w:t>Service specific controls</w:t>
            </w:r>
          </w:p>
        </w:tc>
        <w:tc>
          <w:tcPr>
            <w:tcW w:w="1842" w:type="dxa"/>
            <w:tcBorders>
              <w:top w:val="nil"/>
              <w:left w:val="nil"/>
              <w:right w:val="nil"/>
            </w:tcBorders>
          </w:tcPr>
          <w:p w14:paraId="6CC18F65" w14:textId="77777777" w:rsidR="000F7DE4" w:rsidRPr="009E1533" w:rsidRDefault="000F7DE4" w:rsidP="005326EC">
            <w:pPr>
              <w:spacing w:before="60" w:after="60" w:line="240" w:lineRule="auto"/>
              <w:rPr>
                <w:rFonts w:ascii="Arial" w:hAnsi="Arial" w:cs="Arial"/>
                <w:b/>
                <w:sz w:val="22"/>
                <w:szCs w:val="22"/>
              </w:rPr>
            </w:pPr>
          </w:p>
        </w:tc>
        <w:tc>
          <w:tcPr>
            <w:tcW w:w="3544" w:type="dxa"/>
            <w:tcBorders>
              <w:top w:val="nil"/>
              <w:left w:val="nil"/>
            </w:tcBorders>
          </w:tcPr>
          <w:p w14:paraId="58A6F6DF" w14:textId="77777777" w:rsidR="000F7DE4" w:rsidRPr="009E1533" w:rsidRDefault="000F7DE4" w:rsidP="00EB29C7">
            <w:pPr>
              <w:spacing w:before="60" w:after="60" w:line="240" w:lineRule="auto"/>
              <w:rPr>
                <w:rFonts w:ascii="Arial" w:hAnsi="Arial" w:cs="Arial"/>
                <w:b/>
                <w:sz w:val="22"/>
                <w:szCs w:val="22"/>
              </w:rPr>
            </w:pPr>
          </w:p>
        </w:tc>
      </w:tr>
      <w:tr w:rsidR="005E049D" w:rsidRPr="009E1533" w14:paraId="7B274704" w14:textId="77777777" w:rsidTr="001E6012">
        <w:tc>
          <w:tcPr>
            <w:tcW w:w="8755" w:type="dxa"/>
            <w:gridSpan w:val="3"/>
          </w:tcPr>
          <w:p w14:paraId="452D6FD0" w14:textId="77777777" w:rsidR="005E049D" w:rsidRPr="009E1533" w:rsidRDefault="005E049D" w:rsidP="00EB29C7">
            <w:pPr>
              <w:spacing w:before="60" w:after="60" w:line="240" w:lineRule="auto"/>
              <w:rPr>
                <w:rFonts w:ascii="Arial" w:hAnsi="Arial" w:cs="Arial"/>
                <w:b/>
                <w:sz w:val="22"/>
                <w:szCs w:val="22"/>
              </w:rPr>
            </w:pPr>
            <w:r w:rsidRPr="009E1533">
              <w:rPr>
                <w:rFonts w:ascii="Arial" w:hAnsi="Arial" w:cs="Arial"/>
                <w:b/>
                <w:i/>
                <w:sz w:val="22"/>
                <w:szCs w:val="22"/>
              </w:rPr>
              <w:t>Adult Services, Health and Wellbeing Directorate (ASHW)</w:t>
            </w:r>
          </w:p>
        </w:tc>
      </w:tr>
      <w:tr w:rsidR="00E90C2B" w:rsidRPr="009E1533" w14:paraId="432E91F6" w14:textId="77777777" w:rsidTr="00D4604A">
        <w:tc>
          <w:tcPr>
            <w:tcW w:w="3369" w:type="dxa"/>
          </w:tcPr>
          <w:p w14:paraId="2CDC5718" w14:textId="77777777" w:rsidR="00E90C2B" w:rsidRPr="009E1533" w:rsidRDefault="00E90C2B" w:rsidP="000101D2">
            <w:pPr>
              <w:spacing w:before="60" w:after="60" w:line="240" w:lineRule="auto"/>
              <w:rPr>
                <w:rFonts w:ascii="Arial" w:hAnsi="Arial" w:cs="Arial"/>
                <w:sz w:val="22"/>
                <w:szCs w:val="22"/>
              </w:rPr>
            </w:pPr>
            <w:proofErr w:type="spellStart"/>
            <w:r w:rsidRPr="009E1533">
              <w:rPr>
                <w:rFonts w:ascii="Arial" w:hAnsi="Arial" w:cs="Arial"/>
                <w:sz w:val="22"/>
                <w:szCs w:val="22"/>
              </w:rPr>
              <w:t>Reablement</w:t>
            </w:r>
            <w:proofErr w:type="spellEnd"/>
          </w:p>
        </w:tc>
        <w:tc>
          <w:tcPr>
            <w:tcW w:w="1842" w:type="dxa"/>
          </w:tcPr>
          <w:p w14:paraId="1C060A43" w14:textId="77777777" w:rsidR="00E90C2B" w:rsidRPr="009E1533" w:rsidRDefault="00E90C2B" w:rsidP="00461458">
            <w:pPr>
              <w:spacing w:before="60" w:after="60" w:line="240" w:lineRule="auto"/>
              <w:rPr>
                <w:rFonts w:ascii="Arial" w:hAnsi="Arial" w:cs="Arial"/>
                <w:sz w:val="22"/>
                <w:szCs w:val="22"/>
              </w:rPr>
            </w:pPr>
            <w:r w:rsidRPr="009E1533">
              <w:rPr>
                <w:rFonts w:ascii="Arial" w:hAnsi="Arial" w:cs="Arial"/>
                <w:sz w:val="22"/>
                <w:szCs w:val="22"/>
              </w:rPr>
              <w:t>Moderate</w:t>
            </w:r>
          </w:p>
        </w:tc>
        <w:tc>
          <w:tcPr>
            <w:tcW w:w="3544" w:type="dxa"/>
          </w:tcPr>
          <w:p w14:paraId="2EC47E50" w14:textId="77777777" w:rsidR="007620FF" w:rsidRPr="009E1533" w:rsidRDefault="00E90C2B" w:rsidP="00180522">
            <w:pPr>
              <w:spacing w:before="60" w:after="60" w:line="240" w:lineRule="auto"/>
              <w:rPr>
                <w:rFonts w:ascii="Arial" w:hAnsi="Arial" w:cs="Arial"/>
                <w:sz w:val="22"/>
                <w:szCs w:val="22"/>
              </w:rPr>
            </w:pPr>
            <w:r w:rsidRPr="009E1533">
              <w:rPr>
                <w:rFonts w:ascii="Arial" w:hAnsi="Arial" w:cs="Arial"/>
                <w:sz w:val="22"/>
                <w:szCs w:val="22"/>
              </w:rPr>
              <w:t>Substantial</w:t>
            </w:r>
            <w:r w:rsidR="001C6BD9">
              <w:rPr>
                <w:rFonts w:ascii="Arial" w:hAnsi="Arial" w:cs="Arial"/>
                <w:sz w:val="22"/>
                <w:szCs w:val="22"/>
              </w:rPr>
              <w:t xml:space="preserve"> (</w:t>
            </w:r>
            <w:r w:rsidR="00217ED4">
              <w:rPr>
                <w:rFonts w:ascii="Arial" w:hAnsi="Arial" w:cs="Arial"/>
                <w:sz w:val="22"/>
                <w:szCs w:val="22"/>
              </w:rPr>
              <w:t>final</w:t>
            </w:r>
            <w:r w:rsidR="001C6BD9">
              <w:rPr>
                <w:rFonts w:ascii="Arial" w:hAnsi="Arial" w:cs="Arial"/>
                <w:sz w:val="22"/>
                <w:szCs w:val="22"/>
              </w:rPr>
              <w:t xml:space="preserve">). </w:t>
            </w:r>
          </w:p>
        </w:tc>
      </w:tr>
      <w:tr w:rsidR="00E90C2B" w:rsidRPr="009E1533" w14:paraId="2B2B6449" w14:textId="77777777" w:rsidTr="00D4604A">
        <w:tc>
          <w:tcPr>
            <w:tcW w:w="3369" w:type="dxa"/>
          </w:tcPr>
          <w:p w14:paraId="6CA26E78" w14:textId="77777777" w:rsidR="00E90C2B" w:rsidRPr="009E1533" w:rsidRDefault="00E90C2B" w:rsidP="000101D2">
            <w:pPr>
              <w:spacing w:before="60" w:after="60" w:line="240" w:lineRule="auto"/>
              <w:rPr>
                <w:rFonts w:ascii="Arial" w:hAnsi="Arial" w:cs="Arial"/>
                <w:sz w:val="22"/>
                <w:szCs w:val="22"/>
              </w:rPr>
            </w:pPr>
            <w:r w:rsidRPr="009E1533">
              <w:rPr>
                <w:rFonts w:ascii="Arial" w:hAnsi="Arial" w:cs="Arial"/>
                <w:sz w:val="22"/>
                <w:szCs w:val="22"/>
              </w:rPr>
              <w:t>Support planning</w:t>
            </w:r>
          </w:p>
        </w:tc>
        <w:tc>
          <w:tcPr>
            <w:tcW w:w="1842" w:type="dxa"/>
          </w:tcPr>
          <w:p w14:paraId="2E74E536" w14:textId="77777777" w:rsidR="00E90C2B" w:rsidRPr="009E1533" w:rsidRDefault="00E90C2B" w:rsidP="005326EC">
            <w:pPr>
              <w:spacing w:before="60" w:after="60" w:line="240" w:lineRule="auto"/>
              <w:rPr>
                <w:rFonts w:ascii="Arial" w:hAnsi="Arial" w:cs="Arial"/>
                <w:sz w:val="22"/>
                <w:szCs w:val="22"/>
              </w:rPr>
            </w:pPr>
            <w:r w:rsidRPr="009E1533">
              <w:rPr>
                <w:rFonts w:ascii="Arial" w:hAnsi="Arial" w:cs="Arial"/>
                <w:sz w:val="22"/>
                <w:szCs w:val="22"/>
              </w:rPr>
              <w:t>Moderate</w:t>
            </w:r>
          </w:p>
        </w:tc>
        <w:tc>
          <w:tcPr>
            <w:tcW w:w="3544" w:type="dxa"/>
          </w:tcPr>
          <w:p w14:paraId="558A0695" w14:textId="77777777" w:rsidR="00A2776C" w:rsidRPr="009E1533" w:rsidRDefault="00E90C2B" w:rsidP="00A2776C">
            <w:pPr>
              <w:spacing w:before="60" w:after="60" w:line="240" w:lineRule="auto"/>
              <w:rPr>
                <w:rFonts w:ascii="Arial" w:hAnsi="Arial" w:cs="Arial"/>
                <w:sz w:val="22"/>
                <w:szCs w:val="22"/>
              </w:rPr>
            </w:pPr>
            <w:r w:rsidRPr="009E1533">
              <w:rPr>
                <w:rFonts w:ascii="Arial" w:hAnsi="Arial" w:cs="Arial"/>
                <w:sz w:val="22"/>
                <w:szCs w:val="22"/>
              </w:rPr>
              <w:t>Substantial</w:t>
            </w:r>
            <w:r w:rsidR="001C6BD9">
              <w:rPr>
                <w:rFonts w:ascii="Arial" w:hAnsi="Arial" w:cs="Arial"/>
                <w:sz w:val="22"/>
                <w:szCs w:val="22"/>
              </w:rPr>
              <w:t xml:space="preserve"> (</w:t>
            </w:r>
            <w:r w:rsidR="00217ED4">
              <w:rPr>
                <w:rFonts w:ascii="Arial" w:hAnsi="Arial" w:cs="Arial"/>
                <w:sz w:val="22"/>
                <w:szCs w:val="22"/>
              </w:rPr>
              <w:t>final</w:t>
            </w:r>
            <w:r w:rsidR="001C6BD9">
              <w:rPr>
                <w:rFonts w:ascii="Arial" w:hAnsi="Arial" w:cs="Arial"/>
                <w:sz w:val="22"/>
                <w:szCs w:val="22"/>
              </w:rPr>
              <w:t xml:space="preserve">). </w:t>
            </w:r>
          </w:p>
        </w:tc>
      </w:tr>
      <w:tr w:rsidR="00D87165" w:rsidRPr="009E1533" w14:paraId="6B788E1F" w14:textId="77777777" w:rsidTr="00D4604A">
        <w:tc>
          <w:tcPr>
            <w:tcW w:w="3369" w:type="dxa"/>
            <w:tcBorders>
              <w:right w:val="nil"/>
            </w:tcBorders>
          </w:tcPr>
          <w:p w14:paraId="3AB31C69" w14:textId="77777777" w:rsidR="00D87165" w:rsidRPr="009E1533" w:rsidRDefault="00D87165" w:rsidP="00C44DC9">
            <w:pPr>
              <w:spacing w:before="60" w:after="60" w:line="240" w:lineRule="auto"/>
              <w:rPr>
                <w:rFonts w:ascii="Arial" w:hAnsi="Arial" w:cs="Arial"/>
                <w:b/>
                <w:i/>
                <w:sz w:val="22"/>
                <w:szCs w:val="22"/>
              </w:rPr>
            </w:pPr>
            <w:r w:rsidRPr="009E1533">
              <w:rPr>
                <w:rFonts w:ascii="Arial" w:hAnsi="Arial" w:cs="Arial"/>
                <w:b/>
                <w:i/>
                <w:sz w:val="22"/>
                <w:szCs w:val="22"/>
              </w:rPr>
              <w:t>Public Health</w:t>
            </w:r>
          </w:p>
        </w:tc>
        <w:tc>
          <w:tcPr>
            <w:tcW w:w="1842" w:type="dxa"/>
            <w:tcBorders>
              <w:left w:val="nil"/>
              <w:right w:val="nil"/>
            </w:tcBorders>
          </w:tcPr>
          <w:p w14:paraId="0455C476" w14:textId="77777777" w:rsidR="00D87165" w:rsidRPr="009E1533" w:rsidRDefault="00D87165" w:rsidP="005326EC">
            <w:pPr>
              <w:spacing w:before="60" w:after="60" w:line="240" w:lineRule="auto"/>
              <w:rPr>
                <w:rFonts w:ascii="Arial" w:hAnsi="Arial" w:cs="Arial"/>
                <w:b/>
                <w:i/>
                <w:sz w:val="22"/>
                <w:szCs w:val="22"/>
              </w:rPr>
            </w:pPr>
          </w:p>
        </w:tc>
        <w:tc>
          <w:tcPr>
            <w:tcW w:w="3544" w:type="dxa"/>
            <w:tcBorders>
              <w:left w:val="nil"/>
            </w:tcBorders>
          </w:tcPr>
          <w:p w14:paraId="695E8DF3" w14:textId="77777777" w:rsidR="00D87165" w:rsidRPr="009E1533" w:rsidRDefault="00D87165" w:rsidP="00EB29C7">
            <w:pPr>
              <w:spacing w:before="60" w:after="60" w:line="240" w:lineRule="auto"/>
              <w:rPr>
                <w:rFonts w:ascii="Arial" w:hAnsi="Arial" w:cs="Arial"/>
                <w:b/>
                <w:i/>
                <w:sz w:val="22"/>
                <w:szCs w:val="22"/>
              </w:rPr>
            </w:pPr>
          </w:p>
        </w:tc>
      </w:tr>
      <w:tr w:rsidR="00D87165" w:rsidRPr="009E1533" w14:paraId="29AEE8D8" w14:textId="77777777" w:rsidTr="00D4604A">
        <w:tc>
          <w:tcPr>
            <w:tcW w:w="3369" w:type="dxa"/>
          </w:tcPr>
          <w:p w14:paraId="0AF13C38" w14:textId="77777777" w:rsidR="00D87165" w:rsidRPr="009E1533" w:rsidRDefault="00D87165" w:rsidP="00C44DC9">
            <w:pPr>
              <w:spacing w:before="60" w:after="60" w:line="240" w:lineRule="auto"/>
              <w:rPr>
                <w:rFonts w:ascii="Arial" w:hAnsi="Arial" w:cs="Arial"/>
                <w:sz w:val="22"/>
                <w:szCs w:val="22"/>
              </w:rPr>
            </w:pPr>
            <w:r w:rsidRPr="009E1533">
              <w:rPr>
                <w:rFonts w:ascii="Arial" w:hAnsi="Arial" w:cs="Arial"/>
                <w:sz w:val="22"/>
                <w:szCs w:val="22"/>
              </w:rPr>
              <w:t>Compliance with the scheme of delegation</w:t>
            </w:r>
          </w:p>
        </w:tc>
        <w:tc>
          <w:tcPr>
            <w:tcW w:w="1842" w:type="dxa"/>
          </w:tcPr>
          <w:p w14:paraId="639FD4AF" w14:textId="77777777" w:rsidR="00D87165" w:rsidRPr="009E1533" w:rsidRDefault="00D87165" w:rsidP="005326EC">
            <w:pPr>
              <w:spacing w:before="60" w:after="60" w:line="240" w:lineRule="auto"/>
              <w:rPr>
                <w:rFonts w:ascii="Arial" w:hAnsi="Arial" w:cs="Arial"/>
                <w:sz w:val="22"/>
                <w:szCs w:val="22"/>
              </w:rPr>
            </w:pPr>
            <w:r w:rsidRPr="009E1533">
              <w:rPr>
                <w:rFonts w:ascii="Arial" w:hAnsi="Arial" w:cs="Arial"/>
                <w:sz w:val="22"/>
                <w:szCs w:val="22"/>
              </w:rPr>
              <w:t>Moderate</w:t>
            </w:r>
          </w:p>
        </w:tc>
        <w:tc>
          <w:tcPr>
            <w:tcW w:w="3544" w:type="dxa"/>
          </w:tcPr>
          <w:p w14:paraId="05AF1B17" w14:textId="77777777" w:rsidR="00D87165" w:rsidRPr="009E1533" w:rsidRDefault="004304E2" w:rsidP="00EB29C7">
            <w:pPr>
              <w:spacing w:before="60" w:after="60" w:line="240" w:lineRule="auto"/>
              <w:rPr>
                <w:rFonts w:ascii="Arial" w:hAnsi="Arial" w:cs="Arial"/>
                <w:sz w:val="22"/>
                <w:szCs w:val="22"/>
              </w:rPr>
            </w:pPr>
            <w:r w:rsidRPr="00110C82">
              <w:rPr>
                <w:rFonts w:ascii="Arial" w:hAnsi="Arial" w:cs="Arial"/>
                <w:sz w:val="22"/>
                <w:szCs w:val="22"/>
              </w:rPr>
              <w:t>Substantial (draft).</w:t>
            </w:r>
          </w:p>
        </w:tc>
      </w:tr>
      <w:tr w:rsidR="005E049D" w:rsidRPr="009E1533" w14:paraId="22DCDA9C" w14:textId="77777777" w:rsidTr="00930812">
        <w:tc>
          <w:tcPr>
            <w:tcW w:w="8755" w:type="dxa"/>
            <w:gridSpan w:val="3"/>
          </w:tcPr>
          <w:p w14:paraId="362775BE" w14:textId="77777777" w:rsidR="005E049D" w:rsidRPr="009E1533" w:rsidRDefault="005E049D" w:rsidP="00935D9A">
            <w:pPr>
              <w:spacing w:before="60" w:after="60" w:line="240" w:lineRule="auto"/>
              <w:rPr>
                <w:rFonts w:ascii="Arial" w:hAnsi="Arial" w:cs="Arial"/>
                <w:b/>
                <w:i/>
                <w:color w:val="D9D9D9" w:themeColor="background1" w:themeShade="D9"/>
                <w:sz w:val="22"/>
                <w:szCs w:val="22"/>
              </w:rPr>
            </w:pPr>
            <w:r w:rsidRPr="009E1533">
              <w:rPr>
                <w:rFonts w:ascii="Arial" w:hAnsi="Arial" w:cs="Arial"/>
                <w:b/>
                <w:i/>
                <w:sz w:val="22"/>
                <w:szCs w:val="22"/>
              </w:rPr>
              <w:t>Directorate for Children and Young People (CYP)</w:t>
            </w:r>
          </w:p>
        </w:tc>
      </w:tr>
      <w:tr w:rsidR="008A3262" w:rsidRPr="009E1533" w14:paraId="6686E855" w14:textId="77777777" w:rsidTr="00D4604A">
        <w:tc>
          <w:tcPr>
            <w:tcW w:w="3369" w:type="dxa"/>
          </w:tcPr>
          <w:p w14:paraId="0DBB4B52" w14:textId="77777777" w:rsidR="008A3262" w:rsidRPr="009E1533" w:rsidRDefault="008A3262" w:rsidP="00743F49">
            <w:pPr>
              <w:spacing w:before="60" w:after="60" w:line="240" w:lineRule="auto"/>
              <w:rPr>
                <w:rFonts w:ascii="Arial" w:hAnsi="Arial" w:cs="Arial"/>
                <w:sz w:val="22"/>
                <w:szCs w:val="22"/>
              </w:rPr>
            </w:pPr>
            <w:r w:rsidRPr="009E1533">
              <w:rPr>
                <w:rFonts w:ascii="Arial" w:hAnsi="Arial" w:cs="Arial"/>
                <w:sz w:val="22"/>
                <w:szCs w:val="22"/>
              </w:rPr>
              <w:lastRenderedPageBreak/>
              <w:t>Due diligence over the transfer of children's centre</w:t>
            </w:r>
            <w:r w:rsidR="00743F49">
              <w:rPr>
                <w:rFonts w:ascii="Arial" w:hAnsi="Arial" w:cs="Arial"/>
                <w:sz w:val="22"/>
                <w:szCs w:val="22"/>
              </w:rPr>
              <w:t>s</w:t>
            </w:r>
          </w:p>
        </w:tc>
        <w:tc>
          <w:tcPr>
            <w:tcW w:w="1842" w:type="dxa"/>
          </w:tcPr>
          <w:p w14:paraId="6545488D" w14:textId="77777777" w:rsidR="008A3262" w:rsidRPr="009E1533" w:rsidRDefault="008A3262" w:rsidP="00935D9A">
            <w:pPr>
              <w:spacing w:before="60" w:after="60" w:line="240" w:lineRule="auto"/>
              <w:rPr>
                <w:rFonts w:ascii="Arial" w:hAnsi="Arial" w:cs="Arial"/>
                <w:sz w:val="22"/>
                <w:szCs w:val="22"/>
              </w:rPr>
            </w:pPr>
            <w:r w:rsidRPr="009E1533">
              <w:rPr>
                <w:rFonts w:ascii="Arial" w:hAnsi="Arial" w:cs="Arial"/>
                <w:sz w:val="22"/>
                <w:szCs w:val="22"/>
              </w:rPr>
              <w:t>Low</w:t>
            </w:r>
          </w:p>
        </w:tc>
        <w:tc>
          <w:tcPr>
            <w:tcW w:w="3544" w:type="dxa"/>
          </w:tcPr>
          <w:p w14:paraId="2DFD392B" w14:textId="77777777" w:rsidR="008A3262" w:rsidRPr="009E1533" w:rsidRDefault="008A3262" w:rsidP="00935D9A">
            <w:pPr>
              <w:spacing w:before="60" w:after="60" w:line="240" w:lineRule="auto"/>
              <w:rPr>
                <w:rFonts w:ascii="Arial" w:hAnsi="Arial" w:cs="Arial"/>
                <w:sz w:val="22"/>
                <w:szCs w:val="22"/>
              </w:rPr>
            </w:pPr>
            <w:r w:rsidRPr="009E1533">
              <w:rPr>
                <w:rFonts w:ascii="Arial" w:hAnsi="Arial" w:cs="Arial"/>
                <w:sz w:val="22"/>
                <w:szCs w:val="22"/>
              </w:rPr>
              <w:t>Substantial</w:t>
            </w:r>
            <w:r w:rsidR="004304E2">
              <w:rPr>
                <w:rFonts w:ascii="Arial" w:hAnsi="Arial" w:cs="Arial"/>
                <w:sz w:val="22"/>
                <w:szCs w:val="22"/>
              </w:rPr>
              <w:t xml:space="preserve"> (final).</w:t>
            </w:r>
          </w:p>
        </w:tc>
      </w:tr>
      <w:tr w:rsidR="008A3262" w:rsidRPr="009E1533" w14:paraId="292C445E" w14:textId="77777777" w:rsidTr="00D4604A">
        <w:tc>
          <w:tcPr>
            <w:tcW w:w="3369" w:type="dxa"/>
          </w:tcPr>
          <w:p w14:paraId="608BEA2E" w14:textId="77777777" w:rsidR="008A3262" w:rsidRPr="009E1533" w:rsidRDefault="008A3262" w:rsidP="008B57E5">
            <w:pPr>
              <w:spacing w:before="60" w:after="60" w:line="240" w:lineRule="auto"/>
              <w:rPr>
                <w:rFonts w:ascii="Arial" w:hAnsi="Arial" w:cs="Arial"/>
                <w:sz w:val="22"/>
                <w:szCs w:val="22"/>
              </w:rPr>
            </w:pPr>
            <w:r w:rsidRPr="009E1533">
              <w:rPr>
                <w:rFonts w:ascii="Arial" w:hAnsi="Arial" w:cs="Arial"/>
                <w:sz w:val="22"/>
                <w:szCs w:val="22"/>
              </w:rPr>
              <w:t>Residential homes – follow-up of agreed action plan</w:t>
            </w:r>
          </w:p>
        </w:tc>
        <w:tc>
          <w:tcPr>
            <w:tcW w:w="1842" w:type="dxa"/>
          </w:tcPr>
          <w:p w14:paraId="72A3D6BA" w14:textId="77777777" w:rsidR="008A3262" w:rsidRPr="009E1533" w:rsidRDefault="008A3262" w:rsidP="00935D9A">
            <w:pPr>
              <w:spacing w:before="60" w:after="60" w:line="240" w:lineRule="auto"/>
              <w:rPr>
                <w:rFonts w:ascii="Arial" w:hAnsi="Arial" w:cs="Arial"/>
                <w:sz w:val="22"/>
                <w:szCs w:val="22"/>
              </w:rPr>
            </w:pPr>
            <w:r w:rsidRPr="009E1533">
              <w:rPr>
                <w:rFonts w:ascii="Arial" w:hAnsi="Arial" w:cs="Arial"/>
                <w:sz w:val="22"/>
                <w:szCs w:val="22"/>
              </w:rPr>
              <w:t>Low</w:t>
            </w:r>
          </w:p>
        </w:tc>
        <w:tc>
          <w:tcPr>
            <w:tcW w:w="3544" w:type="dxa"/>
          </w:tcPr>
          <w:p w14:paraId="12718C9E" w14:textId="77777777" w:rsidR="00685611" w:rsidRPr="009E1533" w:rsidRDefault="00703A3F" w:rsidP="001F6E07">
            <w:pPr>
              <w:spacing w:before="60" w:after="60" w:line="240" w:lineRule="auto"/>
              <w:rPr>
                <w:rFonts w:ascii="Arial" w:hAnsi="Arial" w:cs="Arial"/>
                <w:sz w:val="22"/>
                <w:szCs w:val="22"/>
              </w:rPr>
            </w:pPr>
            <w:r>
              <w:rPr>
                <w:rFonts w:ascii="Arial" w:hAnsi="Arial" w:cs="Arial"/>
                <w:sz w:val="22"/>
                <w:szCs w:val="22"/>
              </w:rPr>
              <w:t>Not applicable</w:t>
            </w:r>
            <w:r w:rsidR="00A81E73">
              <w:rPr>
                <w:rFonts w:ascii="Arial" w:hAnsi="Arial" w:cs="Arial"/>
                <w:sz w:val="22"/>
                <w:szCs w:val="22"/>
              </w:rPr>
              <w:t>: substantial assurance has already been given.</w:t>
            </w:r>
          </w:p>
        </w:tc>
      </w:tr>
      <w:tr w:rsidR="008A3262" w:rsidRPr="009E1533" w14:paraId="2CC44279" w14:textId="77777777" w:rsidTr="00D4604A">
        <w:tc>
          <w:tcPr>
            <w:tcW w:w="3369" w:type="dxa"/>
          </w:tcPr>
          <w:p w14:paraId="2247A21E" w14:textId="77777777" w:rsidR="008A3262" w:rsidRPr="009E1533" w:rsidRDefault="008A3262" w:rsidP="008B57E5">
            <w:pPr>
              <w:spacing w:before="60" w:after="60" w:line="240" w:lineRule="auto"/>
              <w:rPr>
                <w:rFonts w:ascii="Arial" w:hAnsi="Arial" w:cs="Arial"/>
                <w:sz w:val="22"/>
                <w:szCs w:val="22"/>
              </w:rPr>
            </w:pPr>
            <w:r w:rsidRPr="009E1533">
              <w:rPr>
                <w:rFonts w:ascii="Arial" w:hAnsi="Arial" w:cs="Arial"/>
                <w:sz w:val="22"/>
                <w:szCs w:val="22"/>
              </w:rPr>
              <w:t>Re-referrals to social care – analytical support to management</w:t>
            </w:r>
          </w:p>
        </w:tc>
        <w:tc>
          <w:tcPr>
            <w:tcW w:w="1842" w:type="dxa"/>
          </w:tcPr>
          <w:p w14:paraId="312315D1" w14:textId="77777777" w:rsidR="008A3262" w:rsidRPr="009E1533" w:rsidRDefault="008A3262" w:rsidP="00935D9A">
            <w:pPr>
              <w:spacing w:before="60" w:after="60" w:line="240" w:lineRule="auto"/>
              <w:rPr>
                <w:rFonts w:ascii="Arial" w:hAnsi="Arial" w:cs="Arial"/>
                <w:sz w:val="22"/>
                <w:szCs w:val="22"/>
              </w:rPr>
            </w:pPr>
            <w:r w:rsidRPr="009E1533">
              <w:rPr>
                <w:rFonts w:ascii="Arial" w:hAnsi="Arial" w:cs="Arial"/>
                <w:sz w:val="22"/>
                <w:szCs w:val="22"/>
              </w:rPr>
              <w:t>Moderate</w:t>
            </w:r>
          </w:p>
        </w:tc>
        <w:tc>
          <w:tcPr>
            <w:tcW w:w="3544" w:type="dxa"/>
          </w:tcPr>
          <w:p w14:paraId="2A08C041" w14:textId="77777777" w:rsidR="008A3262" w:rsidRPr="009E1533" w:rsidRDefault="00685611" w:rsidP="00685611">
            <w:pPr>
              <w:spacing w:before="60" w:after="60" w:line="240" w:lineRule="auto"/>
              <w:rPr>
                <w:rFonts w:ascii="Arial" w:hAnsi="Arial" w:cs="Arial"/>
                <w:sz w:val="22"/>
                <w:szCs w:val="22"/>
              </w:rPr>
            </w:pPr>
            <w:r w:rsidRPr="009E1533">
              <w:rPr>
                <w:rFonts w:ascii="Arial" w:hAnsi="Arial" w:cs="Arial"/>
                <w:sz w:val="22"/>
                <w:szCs w:val="22"/>
              </w:rPr>
              <w:t>This</w:t>
            </w:r>
            <w:r w:rsidR="008A3262" w:rsidRPr="009E1533">
              <w:rPr>
                <w:rFonts w:ascii="Arial" w:hAnsi="Arial" w:cs="Arial"/>
                <w:sz w:val="22"/>
                <w:szCs w:val="22"/>
              </w:rPr>
              <w:t xml:space="preserve"> work </w:t>
            </w:r>
            <w:r w:rsidRPr="009E1533">
              <w:rPr>
                <w:rFonts w:ascii="Arial" w:hAnsi="Arial" w:cs="Arial"/>
                <w:sz w:val="22"/>
                <w:szCs w:val="22"/>
              </w:rPr>
              <w:t xml:space="preserve">was </w:t>
            </w:r>
            <w:r w:rsidR="008A3262" w:rsidRPr="009E1533">
              <w:rPr>
                <w:rFonts w:ascii="Arial" w:hAnsi="Arial" w:cs="Arial"/>
                <w:sz w:val="22"/>
                <w:szCs w:val="22"/>
              </w:rPr>
              <w:t>not directed to assurance</w:t>
            </w:r>
            <w:r w:rsidRPr="009E1533">
              <w:rPr>
                <w:rFonts w:ascii="Arial" w:hAnsi="Arial" w:cs="Arial"/>
                <w:sz w:val="22"/>
                <w:szCs w:val="22"/>
              </w:rPr>
              <w:t>, but support has been provided to management to better understand the data relating to re-referrals.</w:t>
            </w:r>
          </w:p>
        </w:tc>
      </w:tr>
      <w:tr w:rsidR="008A3262" w:rsidRPr="009E1533" w14:paraId="7463DF77" w14:textId="77777777" w:rsidTr="00D4604A">
        <w:tc>
          <w:tcPr>
            <w:tcW w:w="3369" w:type="dxa"/>
            <w:tcBorders>
              <w:right w:val="nil"/>
            </w:tcBorders>
          </w:tcPr>
          <w:p w14:paraId="0036F307" w14:textId="77777777" w:rsidR="008A3262" w:rsidRPr="009E1533" w:rsidRDefault="008A3262" w:rsidP="007B1E24">
            <w:pPr>
              <w:spacing w:before="60" w:after="60" w:line="240" w:lineRule="auto"/>
              <w:rPr>
                <w:rFonts w:ascii="Arial" w:hAnsi="Arial" w:cs="Arial"/>
                <w:b/>
                <w:sz w:val="22"/>
                <w:szCs w:val="22"/>
              </w:rPr>
            </w:pPr>
            <w:r w:rsidRPr="009E1533">
              <w:rPr>
                <w:rFonts w:ascii="Arial" w:hAnsi="Arial" w:cs="Arial"/>
                <w:b/>
                <w:i/>
                <w:sz w:val="22"/>
                <w:szCs w:val="22"/>
              </w:rPr>
              <w:t>Environment Directorate</w:t>
            </w:r>
          </w:p>
        </w:tc>
        <w:tc>
          <w:tcPr>
            <w:tcW w:w="1842" w:type="dxa"/>
            <w:tcBorders>
              <w:left w:val="nil"/>
              <w:right w:val="nil"/>
            </w:tcBorders>
          </w:tcPr>
          <w:p w14:paraId="57160991" w14:textId="77777777" w:rsidR="008A3262" w:rsidRPr="009E1533" w:rsidRDefault="008A3262" w:rsidP="005326EC">
            <w:pPr>
              <w:spacing w:before="60" w:after="60" w:line="240" w:lineRule="auto"/>
              <w:rPr>
                <w:rFonts w:ascii="Arial" w:hAnsi="Arial" w:cs="Arial"/>
                <w:sz w:val="22"/>
                <w:szCs w:val="22"/>
              </w:rPr>
            </w:pPr>
          </w:p>
        </w:tc>
        <w:tc>
          <w:tcPr>
            <w:tcW w:w="3544" w:type="dxa"/>
            <w:tcBorders>
              <w:left w:val="nil"/>
            </w:tcBorders>
          </w:tcPr>
          <w:p w14:paraId="0379D819" w14:textId="77777777" w:rsidR="008A3262" w:rsidRPr="009E1533" w:rsidRDefault="008A3262" w:rsidP="003360FE">
            <w:pPr>
              <w:spacing w:before="60" w:after="60" w:line="240" w:lineRule="auto"/>
              <w:rPr>
                <w:rFonts w:ascii="Arial" w:hAnsi="Arial" w:cs="Arial"/>
                <w:sz w:val="22"/>
                <w:szCs w:val="22"/>
              </w:rPr>
            </w:pPr>
          </w:p>
        </w:tc>
      </w:tr>
      <w:tr w:rsidR="008A3262" w:rsidRPr="009E1533" w14:paraId="65C911A4" w14:textId="77777777" w:rsidTr="00D4604A">
        <w:tc>
          <w:tcPr>
            <w:tcW w:w="3369" w:type="dxa"/>
            <w:tcBorders>
              <w:bottom w:val="single" w:sz="4" w:space="0" w:color="auto"/>
            </w:tcBorders>
          </w:tcPr>
          <w:p w14:paraId="3680D4C3" w14:textId="77777777" w:rsidR="008A3262" w:rsidRPr="009E1533" w:rsidRDefault="008A3262" w:rsidP="008A3262">
            <w:pPr>
              <w:spacing w:before="60" w:after="60" w:line="240" w:lineRule="auto"/>
              <w:rPr>
                <w:rFonts w:ascii="Arial" w:hAnsi="Arial" w:cs="Arial"/>
                <w:sz w:val="22"/>
                <w:szCs w:val="22"/>
              </w:rPr>
            </w:pPr>
            <w:r w:rsidRPr="009E1533">
              <w:rPr>
                <w:rFonts w:ascii="Arial" w:hAnsi="Arial" w:cs="Arial"/>
                <w:sz w:val="22"/>
                <w:szCs w:val="22"/>
              </w:rPr>
              <w:t>Use of highways contractors</w:t>
            </w:r>
          </w:p>
        </w:tc>
        <w:tc>
          <w:tcPr>
            <w:tcW w:w="1842" w:type="dxa"/>
            <w:tcBorders>
              <w:bottom w:val="single" w:sz="4" w:space="0" w:color="auto"/>
            </w:tcBorders>
          </w:tcPr>
          <w:p w14:paraId="076F127D" w14:textId="77777777" w:rsidR="008A3262" w:rsidRDefault="008A3262" w:rsidP="005326EC">
            <w:pPr>
              <w:spacing w:before="60" w:after="60" w:line="240" w:lineRule="auto"/>
              <w:rPr>
                <w:rFonts w:ascii="Arial" w:hAnsi="Arial" w:cs="Arial"/>
                <w:sz w:val="22"/>
                <w:szCs w:val="22"/>
              </w:rPr>
            </w:pPr>
            <w:r w:rsidRPr="009E1533">
              <w:rPr>
                <w:rFonts w:ascii="Arial" w:hAnsi="Arial" w:cs="Arial"/>
                <w:sz w:val="22"/>
                <w:szCs w:val="22"/>
              </w:rPr>
              <w:t>Moderate</w:t>
            </w:r>
          </w:p>
          <w:p w14:paraId="4B24EA20" w14:textId="77777777" w:rsidR="001F6E07" w:rsidRPr="009E1533" w:rsidRDefault="001F6E07" w:rsidP="001F6E07">
            <w:pPr>
              <w:spacing w:before="60" w:after="60" w:line="240" w:lineRule="auto"/>
              <w:rPr>
                <w:rFonts w:ascii="Arial" w:hAnsi="Arial" w:cs="Arial"/>
                <w:sz w:val="22"/>
                <w:szCs w:val="22"/>
              </w:rPr>
            </w:pPr>
            <w:r w:rsidRPr="009E1533">
              <w:rPr>
                <w:rFonts w:ascii="Arial" w:hAnsi="Arial" w:cs="Arial"/>
              </w:rPr>
              <w:t xml:space="preserve">(with potential reputational and </w:t>
            </w:r>
            <w:r>
              <w:rPr>
                <w:rFonts w:ascii="Arial" w:hAnsi="Arial" w:cs="Arial"/>
              </w:rPr>
              <w:t xml:space="preserve">financial </w:t>
            </w:r>
            <w:r w:rsidRPr="009E1533">
              <w:rPr>
                <w:rFonts w:ascii="Arial" w:hAnsi="Arial" w:cs="Arial"/>
              </w:rPr>
              <w:t>risk</w:t>
            </w:r>
            <w:r>
              <w:rPr>
                <w:rFonts w:ascii="Arial" w:hAnsi="Arial" w:cs="Arial"/>
              </w:rPr>
              <w:t>s</w:t>
            </w:r>
            <w:r w:rsidRPr="009E1533">
              <w:rPr>
                <w:rFonts w:ascii="Arial" w:hAnsi="Arial" w:cs="Arial"/>
              </w:rPr>
              <w:t>)</w:t>
            </w:r>
          </w:p>
        </w:tc>
        <w:tc>
          <w:tcPr>
            <w:tcW w:w="3544" w:type="dxa"/>
            <w:tcBorders>
              <w:bottom w:val="single" w:sz="4" w:space="0" w:color="auto"/>
            </w:tcBorders>
          </w:tcPr>
          <w:p w14:paraId="6236A79D" w14:textId="77777777" w:rsidR="008A3262" w:rsidRPr="009E1533" w:rsidRDefault="008A3262" w:rsidP="00F54228">
            <w:pPr>
              <w:spacing w:before="60" w:after="60" w:line="240" w:lineRule="auto"/>
              <w:rPr>
                <w:rFonts w:ascii="Arial" w:hAnsi="Arial" w:cs="Arial"/>
                <w:sz w:val="22"/>
                <w:szCs w:val="22"/>
              </w:rPr>
            </w:pPr>
            <w:r w:rsidRPr="001F6E07">
              <w:rPr>
                <w:rFonts w:ascii="Arial" w:hAnsi="Arial" w:cs="Arial"/>
                <w:sz w:val="22"/>
                <w:szCs w:val="22"/>
              </w:rPr>
              <w:t>Limited</w:t>
            </w:r>
            <w:r w:rsidR="00F54228" w:rsidRPr="001F6E07">
              <w:rPr>
                <w:rFonts w:ascii="Arial" w:hAnsi="Arial" w:cs="Arial"/>
                <w:sz w:val="22"/>
                <w:szCs w:val="22"/>
              </w:rPr>
              <w:t xml:space="preserve"> (draft).</w:t>
            </w:r>
          </w:p>
        </w:tc>
      </w:tr>
      <w:tr w:rsidR="00797DF1" w:rsidRPr="009E1533" w14:paraId="2BF596BD" w14:textId="77777777" w:rsidTr="00D4604A">
        <w:tc>
          <w:tcPr>
            <w:tcW w:w="5211" w:type="dxa"/>
            <w:gridSpan w:val="2"/>
            <w:tcBorders>
              <w:right w:val="nil"/>
            </w:tcBorders>
          </w:tcPr>
          <w:p w14:paraId="6DB6B816" w14:textId="77777777" w:rsidR="00797DF1" w:rsidRPr="009E1533" w:rsidRDefault="00797DF1" w:rsidP="005326EC">
            <w:pPr>
              <w:spacing w:before="60" w:after="60" w:line="240" w:lineRule="auto"/>
              <w:rPr>
                <w:rFonts w:ascii="Arial" w:hAnsi="Arial" w:cs="Arial"/>
                <w:sz w:val="22"/>
                <w:szCs w:val="22"/>
              </w:rPr>
            </w:pPr>
            <w:r w:rsidRPr="00797DF1">
              <w:rPr>
                <w:rFonts w:ascii="Arial" w:hAnsi="Arial" w:cs="Arial"/>
                <w:b/>
                <w:i/>
                <w:sz w:val="22"/>
                <w:szCs w:val="22"/>
              </w:rPr>
              <w:t>Lancashire County Commercial Group</w:t>
            </w:r>
          </w:p>
        </w:tc>
        <w:tc>
          <w:tcPr>
            <w:tcW w:w="3544" w:type="dxa"/>
            <w:tcBorders>
              <w:left w:val="nil"/>
            </w:tcBorders>
          </w:tcPr>
          <w:p w14:paraId="15C11955" w14:textId="77777777" w:rsidR="00797DF1" w:rsidRPr="001F6E07" w:rsidRDefault="00797DF1" w:rsidP="00D20AC5">
            <w:pPr>
              <w:spacing w:before="60" w:after="60" w:line="240" w:lineRule="auto"/>
              <w:rPr>
                <w:rFonts w:ascii="Arial" w:hAnsi="Arial" w:cs="Arial"/>
                <w:sz w:val="22"/>
                <w:szCs w:val="22"/>
              </w:rPr>
            </w:pPr>
          </w:p>
        </w:tc>
      </w:tr>
      <w:tr w:rsidR="00797DF1" w:rsidRPr="009E1533" w14:paraId="2F10F899" w14:textId="77777777" w:rsidTr="00D4604A">
        <w:tc>
          <w:tcPr>
            <w:tcW w:w="3369" w:type="dxa"/>
          </w:tcPr>
          <w:p w14:paraId="07A4A7BB" w14:textId="77777777" w:rsidR="00797DF1" w:rsidRPr="009E1533" w:rsidRDefault="00797DF1" w:rsidP="008A3262">
            <w:pPr>
              <w:spacing w:before="60" w:after="60" w:line="240" w:lineRule="auto"/>
              <w:rPr>
                <w:rFonts w:ascii="Arial" w:hAnsi="Arial" w:cs="Arial"/>
                <w:sz w:val="22"/>
                <w:szCs w:val="22"/>
              </w:rPr>
            </w:pPr>
            <w:r>
              <w:rPr>
                <w:rFonts w:ascii="Arial" w:hAnsi="Arial" w:cs="Arial"/>
                <w:sz w:val="22"/>
                <w:szCs w:val="22"/>
              </w:rPr>
              <w:t>Fleet Services</w:t>
            </w:r>
          </w:p>
        </w:tc>
        <w:tc>
          <w:tcPr>
            <w:tcW w:w="1842" w:type="dxa"/>
          </w:tcPr>
          <w:p w14:paraId="52C366F5" w14:textId="77777777" w:rsidR="00797DF1" w:rsidRPr="009E1533" w:rsidRDefault="00797DF1" w:rsidP="005326EC">
            <w:pPr>
              <w:spacing w:before="60" w:after="60" w:line="240" w:lineRule="auto"/>
              <w:rPr>
                <w:rFonts w:ascii="Arial" w:hAnsi="Arial" w:cs="Arial"/>
                <w:sz w:val="22"/>
                <w:szCs w:val="22"/>
              </w:rPr>
            </w:pPr>
            <w:r>
              <w:rPr>
                <w:rFonts w:ascii="Arial" w:hAnsi="Arial" w:cs="Arial"/>
                <w:sz w:val="22"/>
                <w:szCs w:val="22"/>
              </w:rPr>
              <w:t>Low</w:t>
            </w:r>
          </w:p>
        </w:tc>
        <w:tc>
          <w:tcPr>
            <w:tcW w:w="3544" w:type="dxa"/>
          </w:tcPr>
          <w:p w14:paraId="2D519D6C" w14:textId="77777777" w:rsidR="00797DF1" w:rsidRPr="001F6E07" w:rsidRDefault="00797DF1" w:rsidP="00797DF1">
            <w:pPr>
              <w:spacing w:before="60" w:after="60" w:line="240" w:lineRule="auto"/>
              <w:rPr>
                <w:rFonts w:ascii="Arial" w:hAnsi="Arial" w:cs="Arial"/>
                <w:sz w:val="22"/>
                <w:szCs w:val="22"/>
              </w:rPr>
            </w:pPr>
            <w:r>
              <w:rPr>
                <w:rFonts w:ascii="Arial" w:hAnsi="Arial" w:cs="Arial"/>
                <w:sz w:val="22"/>
                <w:szCs w:val="22"/>
              </w:rPr>
              <w:t>Substantial (draft).</w:t>
            </w:r>
          </w:p>
        </w:tc>
      </w:tr>
    </w:tbl>
    <w:p w14:paraId="391DE08C" w14:textId="77777777" w:rsidR="007865BD" w:rsidRPr="007865BD" w:rsidRDefault="007865BD" w:rsidP="00743F49">
      <w:pPr>
        <w:pStyle w:val="ListParagraph"/>
        <w:spacing w:before="240" w:after="120" w:line="240" w:lineRule="auto"/>
        <w:ind w:left="567"/>
        <w:rPr>
          <w:rFonts w:ascii="Arial" w:hAnsi="Arial" w:cs="Arial"/>
          <w:sz w:val="24"/>
          <w:szCs w:val="24"/>
        </w:rPr>
      </w:pPr>
      <w:r w:rsidRPr="007865BD">
        <w:rPr>
          <w:rFonts w:ascii="Arial" w:hAnsi="Arial" w:cs="Arial"/>
          <w:b/>
          <w:sz w:val="24"/>
          <w:szCs w:val="24"/>
        </w:rPr>
        <w:t>Corporate controls</w:t>
      </w:r>
      <w:r w:rsidRPr="007865BD">
        <w:rPr>
          <w:rFonts w:ascii="Arial" w:hAnsi="Arial" w:cs="Arial"/>
          <w:sz w:val="24"/>
          <w:szCs w:val="24"/>
        </w:rPr>
        <w:t xml:space="preserve"> </w:t>
      </w:r>
    </w:p>
    <w:p w14:paraId="4A3C21F7" w14:textId="77777777" w:rsidR="007865BD" w:rsidRPr="00982197" w:rsidRDefault="007865BD" w:rsidP="007865BD">
      <w:pPr>
        <w:pStyle w:val="ListParagraph"/>
        <w:spacing w:before="120" w:after="120" w:line="240" w:lineRule="auto"/>
        <w:ind w:left="567"/>
        <w:rPr>
          <w:rFonts w:ascii="Arial" w:hAnsi="Arial" w:cs="Arial"/>
          <w:i/>
          <w:sz w:val="24"/>
          <w:szCs w:val="24"/>
        </w:rPr>
      </w:pPr>
      <w:r w:rsidRPr="00E857AE">
        <w:rPr>
          <w:rFonts w:ascii="Arial" w:hAnsi="Arial" w:cs="Arial"/>
          <w:b/>
          <w:i/>
          <w:sz w:val="24"/>
          <w:szCs w:val="24"/>
        </w:rPr>
        <w:t>Declarations of officers' interests, gifts and hospitality</w:t>
      </w:r>
      <w:r w:rsidR="00982197">
        <w:rPr>
          <w:rFonts w:ascii="Arial" w:hAnsi="Arial" w:cs="Arial"/>
          <w:b/>
          <w:i/>
          <w:sz w:val="24"/>
          <w:szCs w:val="24"/>
        </w:rPr>
        <w:t xml:space="preserve">: </w:t>
      </w:r>
      <w:r w:rsidR="00982197" w:rsidRPr="00982197">
        <w:rPr>
          <w:rFonts w:ascii="Arial" w:hAnsi="Arial" w:cs="Arial"/>
          <w:i/>
          <w:sz w:val="24"/>
          <w:szCs w:val="24"/>
        </w:rPr>
        <w:t>substantial assurance</w:t>
      </w:r>
    </w:p>
    <w:p w14:paraId="7FEFE907" w14:textId="77777777" w:rsidR="00A81E73" w:rsidRDefault="00490027" w:rsidP="00FD68DF">
      <w:pPr>
        <w:pStyle w:val="ListParagraph"/>
        <w:numPr>
          <w:ilvl w:val="1"/>
          <w:numId w:val="24"/>
        </w:numPr>
        <w:tabs>
          <w:tab w:val="clear" w:pos="851"/>
        </w:tabs>
        <w:spacing w:before="120" w:after="120" w:line="240" w:lineRule="auto"/>
        <w:ind w:left="567" w:hanging="567"/>
        <w:rPr>
          <w:rFonts w:ascii="Arial" w:hAnsi="Arial" w:cs="Arial"/>
          <w:sz w:val="24"/>
          <w:szCs w:val="24"/>
        </w:rPr>
      </w:pPr>
      <w:r w:rsidRPr="00982197">
        <w:rPr>
          <w:rFonts w:ascii="Arial" w:hAnsi="Arial" w:cs="Arial"/>
          <w:sz w:val="24"/>
          <w:szCs w:val="24"/>
        </w:rPr>
        <w:t xml:space="preserve">Registration of interests, gifts and hospitality offered </w:t>
      </w:r>
      <w:r w:rsidR="00A81E73">
        <w:rPr>
          <w:rFonts w:ascii="Arial" w:hAnsi="Arial" w:cs="Arial"/>
          <w:sz w:val="24"/>
          <w:szCs w:val="24"/>
        </w:rPr>
        <w:t xml:space="preserve">to </w:t>
      </w:r>
      <w:r w:rsidRPr="00982197">
        <w:rPr>
          <w:rFonts w:ascii="Arial" w:hAnsi="Arial" w:cs="Arial"/>
          <w:sz w:val="24"/>
          <w:szCs w:val="24"/>
        </w:rPr>
        <w:t xml:space="preserve">and accepted by </w:t>
      </w:r>
      <w:proofErr w:type="gramStart"/>
      <w:r w:rsidRPr="00982197">
        <w:rPr>
          <w:rFonts w:ascii="Arial" w:hAnsi="Arial" w:cs="Arial"/>
          <w:sz w:val="24"/>
          <w:szCs w:val="24"/>
        </w:rPr>
        <w:t>officers</w:t>
      </w:r>
      <w:proofErr w:type="gramEnd"/>
      <w:r w:rsidRPr="00982197">
        <w:rPr>
          <w:rFonts w:ascii="Arial" w:hAnsi="Arial" w:cs="Arial"/>
          <w:sz w:val="24"/>
          <w:szCs w:val="24"/>
        </w:rPr>
        <w:t xml:space="preserve"> forms part of the </w:t>
      </w:r>
      <w:r w:rsidR="00A81E73">
        <w:rPr>
          <w:rFonts w:ascii="Arial" w:hAnsi="Arial" w:cs="Arial"/>
          <w:sz w:val="24"/>
          <w:szCs w:val="24"/>
        </w:rPr>
        <w:t xml:space="preserve">council's </w:t>
      </w:r>
      <w:r w:rsidRPr="00982197">
        <w:rPr>
          <w:rFonts w:ascii="Arial" w:hAnsi="Arial" w:cs="Arial"/>
          <w:sz w:val="24"/>
          <w:szCs w:val="24"/>
        </w:rPr>
        <w:t>wider framework of corporate governance</w:t>
      </w:r>
      <w:r w:rsidR="00A81E73">
        <w:rPr>
          <w:rFonts w:ascii="Arial" w:hAnsi="Arial" w:cs="Arial"/>
          <w:sz w:val="24"/>
          <w:szCs w:val="24"/>
        </w:rPr>
        <w:t>. W</w:t>
      </w:r>
      <w:r w:rsidR="00982197" w:rsidRPr="00982197">
        <w:rPr>
          <w:rFonts w:ascii="Arial" w:hAnsi="Arial" w:cs="Arial"/>
          <w:sz w:val="24"/>
          <w:szCs w:val="24"/>
        </w:rPr>
        <w:t>e</w:t>
      </w:r>
      <w:r w:rsidRPr="00982197">
        <w:rPr>
          <w:rFonts w:ascii="Arial" w:hAnsi="Arial" w:cs="Arial"/>
          <w:sz w:val="24"/>
          <w:szCs w:val="24"/>
        </w:rPr>
        <w:t xml:space="preserve"> have reviewed this area previously and provided only limited assurance</w:t>
      </w:r>
      <w:r w:rsidR="00982197" w:rsidRPr="00982197">
        <w:rPr>
          <w:rFonts w:ascii="Arial" w:hAnsi="Arial" w:cs="Arial"/>
          <w:sz w:val="24"/>
          <w:szCs w:val="24"/>
        </w:rPr>
        <w:t xml:space="preserve"> over the controls in place</w:t>
      </w:r>
      <w:r w:rsidRPr="00982197">
        <w:rPr>
          <w:rFonts w:ascii="Arial" w:hAnsi="Arial" w:cs="Arial"/>
          <w:sz w:val="24"/>
          <w:szCs w:val="24"/>
        </w:rPr>
        <w:t>. Although cont</w:t>
      </w:r>
      <w:r w:rsidR="00982197" w:rsidRPr="00982197">
        <w:rPr>
          <w:rFonts w:ascii="Arial" w:hAnsi="Arial" w:cs="Arial"/>
          <w:sz w:val="24"/>
          <w:szCs w:val="24"/>
        </w:rPr>
        <w:t xml:space="preserve">rols could be further improved overall, we are able to provide substantial assurance over the processes </w:t>
      </w:r>
      <w:r w:rsidR="00A81E73">
        <w:rPr>
          <w:rFonts w:ascii="Arial" w:hAnsi="Arial" w:cs="Arial"/>
          <w:sz w:val="24"/>
          <w:szCs w:val="24"/>
        </w:rPr>
        <w:t>operated by</w:t>
      </w:r>
      <w:r w:rsidR="00982197" w:rsidRPr="00982197">
        <w:rPr>
          <w:rFonts w:ascii="Arial" w:hAnsi="Arial" w:cs="Arial"/>
          <w:sz w:val="24"/>
          <w:szCs w:val="24"/>
        </w:rPr>
        <w:t xml:space="preserve"> the County Secretary and Solicitors team</w:t>
      </w:r>
      <w:r w:rsidR="00982197">
        <w:rPr>
          <w:rFonts w:ascii="Arial" w:hAnsi="Arial" w:cs="Arial"/>
          <w:sz w:val="24"/>
          <w:szCs w:val="24"/>
        </w:rPr>
        <w:t xml:space="preserve">. </w:t>
      </w:r>
    </w:p>
    <w:p w14:paraId="31CBABC1" w14:textId="77777777" w:rsidR="007865BD" w:rsidRPr="00490027" w:rsidRDefault="00A81E73" w:rsidP="00FD68DF">
      <w:pPr>
        <w:pStyle w:val="ListParagraph"/>
        <w:numPr>
          <w:ilvl w:val="1"/>
          <w:numId w:val="24"/>
        </w:numPr>
        <w:tabs>
          <w:tab w:val="clear" w:pos="851"/>
        </w:tabs>
        <w:spacing w:before="120" w:after="120" w:line="240" w:lineRule="auto"/>
        <w:ind w:left="567" w:hanging="567"/>
        <w:rPr>
          <w:rFonts w:ascii="Arial" w:hAnsi="Arial" w:cs="Arial"/>
          <w:sz w:val="24"/>
          <w:szCs w:val="24"/>
        </w:rPr>
      </w:pPr>
      <w:r>
        <w:rPr>
          <w:rFonts w:ascii="Arial" w:hAnsi="Arial" w:cs="Arial"/>
          <w:sz w:val="24"/>
          <w:szCs w:val="24"/>
        </w:rPr>
        <w:t>However</w:t>
      </w:r>
      <w:r w:rsidR="00982197">
        <w:rPr>
          <w:rFonts w:ascii="Arial" w:hAnsi="Arial" w:cs="Arial"/>
          <w:sz w:val="24"/>
          <w:szCs w:val="24"/>
        </w:rPr>
        <w:t xml:space="preserve"> </w:t>
      </w:r>
      <w:r>
        <w:rPr>
          <w:rFonts w:ascii="Arial" w:hAnsi="Arial" w:cs="Arial"/>
          <w:sz w:val="24"/>
          <w:szCs w:val="24"/>
        </w:rPr>
        <w:t>the council's governance</w:t>
      </w:r>
      <w:r w:rsidR="00982197">
        <w:rPr>
          <w:rFonts w:ascii="Arial" w:hAnsi="Arial" w:cs="Arial"/>
          <w:sz w:val="24"/>
          <w:szCs w:val="24"/>
        </w:rPr>
        <w:t xml:space="preserve"> would be improved by the requirement that certain officers (</w:t>
      </w:r>
      <w:r>
        <w:rPr>
          <w:rFonts w:ascii="Arial" w:hAnsi="Arial" w:cs="Arial"/>
          <w:sz w:val="24"/>
          <w:szCs w:val="24"/>
        </w:rPr>
        <w:t xml:space="preserve">for example </w:t>
      </w:r>
      <w:r w:rsidR="00982197">
        <w:rPr>
          <w:rFonts w:ascii="Arial" w:hAnsi="Arial" w:cs="Arial"/>
          <w:sz w:val="24"/>
          <w:szCs w:val="24"/>
        </w:rPr>
        <w:t xml:space="preserve">those in posts responsible for procurement) state </w:t>
      </w:r>
      <w:r w:rsidR="00276955">
        <w:rPr>
          <w:rFonts w:ascii="Arial" w:hAnsi="Arial" w:cs="Arial"/>
          <w:sz w:val="24"/>
          <w:szCs w:val="24"/>
        </w:rPr>
        <w:t xml:space="preserve">positively </w:t>
      </w:r>
      <w:r w:rsidR="00982197">
        <w:rPr>
          <w:rFonts w:ascii="Arial" w:hAnsi="Arial" w:cs="Arial"/>
          <w:sz w:val="24"/>
          <w:szCs w:val="24"/>
        </w:rPr>
        <w:t>either that they have no personal interests, or else declare them.</w:t>
      </w:r>
    </w:p>
    <w:p w14:paraId="6D88C87A" w14:textId="77777777" w:rsidR="007865BD" w:rsidRPr="00982197" w:rsidRDefault="007865BD" w:rsidP="00982197">
      <w:pPr>
        <w:pStyle w:val="ListParagraph"/>
        <w:spacing w:before="120" w:after="120" w:line="240" w:lineRule="auto"/>
        <w:ind w:left="567"/>
        <w:rPr>
          <w:rFonts w:ascii="Arial" w:hAnsi="Arial" w:cs="Arial"/>
          <w:i/>
          <w:sz w:val="24"/>
          <w:szCs w:val="24"/>
        </w:rPr>
      </w:pPr>
      <w:r w:rsidRPr="00E857AE">
        <w:rPr>
          <w:rFonts w:ascii="Arial" w:hAnsi="Arial" w:cs="Arial"/>
          <w:b/>
          <w:i/>
          <w:sz w:val="24"/>
          <w:szCs w:val="24"/>
        </w:rPr>
        <w:t>Members' expenses and allowances</w:t>
      </w:r>
      <w:r w:rsidR="00982197">
        <w:rPr>
          <w:rFonts w:ascii="Arial" w:hAnsi="Arial" w:cs="Arial"/>
          <w:b/>
          <w:i/>
          <w:sz w:val="24"/>
          <w:szCs w:val="24"/>
        </w:rPr>
        <w:t xml:space="preserve">: </w:t>
      </w:r>
      <w:r w:rsidR="00982197" w:rsidRPr="00982197">
        <w:rPr>
          <w:rFonts w:ascii="Arial" w:hAnsi="Arial" w:cs="Arial"/>
          <w:i/>
          <w:sz w:val="24"/>
          <w:szCs w:val="24"/>
        </w:rPr>
        <w:t>substantial assurance</w:t>
      </w:r>
    </w:p>
    <w:p w14:paraId="337FE775" w14:textId="77777777" w:rsidR="00537683" w:rsidRDefault="00537683" w:rsidP="00D949E4">
      <w:pPr>
        <w:pStyle w:val="ListParagraph"/>
        <w:numPr>
          <w:ilvl w:val="1"/>
          <w:numId w:val="24"/>
        </w:numPr>
        <w:tabs>
          <w:tab w:val="clear" w:pos="851"/>
        </w:tabs>
        <w:spacing w:before="120" w:after="120" w:line="240" w:lineRule="auto"/>
        <w:ind w:left="567" w:hanging="567"/>
        <w:rPr>
          <w:rFonts w:ascii="Arial" w:hAnsi="Arial" w:cs="Arial"/>
          <w:sz w:val="24"/>
          <w:szCs w:val="24"/>
        </w:rPr>
      </w:pPr>
      <w:r w:rsidRPr="00537683">
        <w:rPr>
          <w:rFonts w:ascii="Arial" w:hAnsi="Arial" w:cs="Arial"/>
          <w:sz w:val="24"/>
          <w:szCs w:val="24"/>
        </w:rPr>
        <w:t>The Council approved a new Code of Conduct in 2012 in accordance with provisions in the Localism Act 2011. Under th</w:t>
      </w:r>
      <w:r w:rsidR="0003048B">
        <w:rPr>
          <w:rFonts w:ascii="Arial" w:hAnsi="Arial" w:cs="Arial"/>
          <w:sz w:val="24"/>
          <w:szCs w:val="24"/>
        </w:rPr>
        <w:t>is</w:t>
      </w:r>
      <w:r w:rsidRPr="00537683">
        <w:rPr>
          <w:rFonts w:ascii="Arial" w:hAnsi="Arial" w:cs="Arial"/>
          <w:sz w:val="24"/>
          <w:szCs w:val="24"/>
        </w:rPr>
        <w:t xml:space="preserve"> Code members are required to declare any disclosable pecuniary or non-pecuniary interests that relate to public duties and take steps to resolve any conflicts in a way th</w:t>
      </w:r>
      <w:r w:rsidR="0003048B">
        <w:rPr>
          <w:rFonts w:ascii="Arial" w:hAnsi="Arial" w:cs="Arial"/>
          <w:sz w:val="24"/>
          <w:szCs w:val="24"/>
        </w:rPr>
        <w:t>at protects the public interest</w:t>
      </w:r>
      <w:r w:rsidRPr="00537683">
        <w:rPr>
          <w:rFonts w:ascii="Arial" w:hAnsi="Arial" w:cs="Arial"/>
          <w:sz w:val="24"/>
          <w:szCs w:val="24"/>
        </w:rPr>
        <w:t xml:space="preserve">. The Members' Allowances Scheme </w:t>
      </w:r>
      <w:r w:rsidR="00165A5D">
        <w:rPr>
          <w:rFonts w:ascii="Arial" w:hAnsi="Arial" w:cs="Arial"/>
          <w:sz w:val="24"/>
          <w:szCs w:val="24"/>
        </w:rPr>
        <w:t>sets out</w:t>
      </w:r>
      <w:r w:rsidRPr="00537683">
        <w:rPr>
          <w:rFonts w:ascii="Arial" w:hAnsi="Arial" w:cs="Arial"/>
          <w:sz w:val="24"/>
          <w:szCs w:val="24"/>
        </w:rPr>
        <w:t xml:space="preserve"> the allowances payable to councillors, the expenses they may claim and how claims should be made</w:t>
      </w:r>
      <w:r w:rsidR="0003048B">
        <w:rPr>
          <w:rFonts w:ascii="Arial" w:hAnsi="Arial" w:cs="Arial"/>
          <w:sz w:val="24"/>
          <w:szCs w:val="24"/>
        </w:rPr>
        <w:t xml:space="preserve"> and </w:t>
      </w:r>
      <w:r w:rsidRPr="00537683">
        <w:rPr>
          <w:rFonts w:ascii="Arial" w:hAnsi="Arial" w:cs="Arial"/>
          <w:sz w:val="24"/>
          <w:szCs w:val="24"/>
        </w:rPr>
        <w:t xml:space="preserve">is approved by </w:t>
      </w:r>
      <w:r>
        <w:rPr>
          <w:rFonts w:ascii="Arial" w:hAnsi="Arial" w:cs="Arial"/>
          <w:sz w:val="24"/>
          <w:szCs w:val="24"/>
        </w:rPr>
        <w:t>the</w:t>
      </w:r>
      <w:r w:rsidRPr="00537683">
        <w:rPr>
          <w:rFonts w:ascii="Arial" w:hAnsi="Arial" w:cs="Arial"/>
          <w:sz w:val="24"/>
          <w:szCs w:val="24"/>
        </w:rPr>
        <w:t xml:space="preserve"> Council annual</w:t>
      </w:r>
      <w:r w:rsidR="0003048B">
        <w:rPr>
          <w:rFonts w:ascii="Arial" w:hAnsi="Arial" w:cs="Arial"/>
          <w:sz w:val="24"/>
          <w:szCs w:val="24"/>
        </w:rPr>
        <w:t>ly</w:t>
      </w:r>
      <w:r w:rsidRPr="00537683">
        <w:rPr>
          <w:rFonts w:ascii="Arial" w:hAnsi="Arial" w:cs="Arial"/>
          <w:sz w:val="24"/>
          <w:szCs w:val="24"/>
        </w:rPr>
        <w:t>, taking into account the recommendations of the Independent Remuneration Panel</w:t>
      </w:r>
      <w:r>
        <w:rPr>
          <w:rFonts w:ascii="Arial" w:hAnsi="Arial" w:cs="Arial"/>
          <w:sz w:val="24"/>
          <w:szCs w:val="24"/>
        </w:rPr>
        <w:t xml:space="preserve"> (IRP)</w:t>
      </w:r>
      <w:r w:rsidRPr="00537683">
        <w:rPr>
          <w:rFonts w:ascii="Arial" w:hAnsi="Arial" w:cs="Arial"/>
          <w:sz w:val="24"/>
          <w:szCs w:val="24"/>
        </w:rPr>
        <w:t>.</w:t>
      </w:r>
    </w:p>
    <w:p w14:paraId="63612E1B" w14:textId="7C2F0E07" w:rsidR="00AB0EA1" w:rsidRPr="00AB0EA1" w:rsidRDefault="00AB0EA1" w:rsidP="00AB0EA1">
      <w:pPr>
        <w:pStyle w:val="ListParagraph"/>
        <w:numPr>
          <w:ilvl w:val="1"/>
          <w:numId w:val="24"/>
        </w:numPr>
        <w:tabs>
          <w:tab w:val="clear" w:pos="851"/>
        </w:tabs>
        <w:spacing w:before="120" w:after="120" w:line="240" w:lineRule="auto"/>
        <w:ind w:left="567" w:hanging="567"/>
        <w:rPr>
          <w:rFonts w:ascii="Arial" w:hAnsi="Arial" w:cs="Arial"/>
          <w:sz w:val="24"/>
          <w:szCs w:val="24"/>
        </w:rPr>
      </w:pPr>
      <w:r w:rsidRPr="00AB0EA1">
        <w:rPr>
          <w:rFonts w:ascii="Arial" w:hAnsi="Arial" w:cs="Arial"/>
          <w:sz w:val="24"/>
          <w:szCs w:val="24"/>
        </w:rPr>
        <w:t>The Members' Allowance Scheme requires councillors to retain receipts for three years in addition to the current financial year and to produce these when required by claim processing officers and internal or external auditors. However this has not yet been undertaken. Random sampling will be introduced by claim checkers after January 2015, once councillors have been informed of this intention and reminded of the requirement to retain receipts.</w:t>
      </w:r>
    </w:p>
    <w:p w14:paraId="6FC493A6" w14:textId="77777777" w:rsidR="00AB0EA1" w:rsidRPr="00AB0EA1" w:rsidRDefault="00AB0EA1" w:rsidP="00AB0EA1">
      <w:pPr>
        <w:spacing w:before="120" w:after="120" w:line="240" w:lineRule="auto"/>
        <w:rPr>
          <w:rFonts w:ascii="Arial" w:hAnsi="Arial" w:cs="Arial"/>
          <w:sz w:val="24"/>
          <w:szCs w:val="24"/>
        </w:rPr>
      </w:pPr>
    </w:p>
    <w:p w14:paraId="1F828977" w14:textId="77777777" w:rsidR="007865BD" w:rsidRPr="00743F49" w:rsidRDefault="00982197" w:rsidP="00743F49">
      <w:pPr>
        <w:pStyle w:val="ListParagraph"/>
        <w:spacing w:before="240" w:after="120" w:line="240" w:lineRule="auto"/>
        <w:ind w:left="567"/>
        <w:rPr>
          <w:rFonts w:ascii="Arial" w:hAnsi="Arial" w:cs="Arial"/>
          <w:b/>
          <w:sz w:val="24"/>
          <w:szCs w:val="24"/>
        </w:rPr>
      </w:pPr>
      <w:bookmarkStart w:id="0" w:name="_GoBack"/>
      <w:bookmarkEnd w:id="0"/>
      <w:r>
        <w:rPr>
          <w:rFonts w:ascii="Arial" w:hAnsi="Arial" w:cs="Arial"/>
          <w:b/>
          <w:sz w:val="24"/>
          <w:szCs w:val="24"/>
        </w:rPr>
        <w:t>F</w:t>
      </w:r>
      <w:r w:rsidRPr="007865BD">
        <w:rPr>
          <w:rFonts w:ascii="Arial" w:hAnsi="Arial" w:cs="Arial"/>
          <w:b/>
          <w:sz w:val="24"/>
          <w:szCs w:val="24"/>
        </w:rPr>
        <w:t xml:space="preserve">inancial </w:t>
      </w:r>
      <w:r>
        <w:rPr>
          <w:rFonts w:ascii="Arial" w:hAnsi="Arial" w:cs="Arial"/>
          <w:b/>
          <w:sz w:val="24"/>
          <w:szCs w:val="24"/>
        </w:rPr>
        <w:t>controls</w:t>
      </w:r>
    </w:p>
    <w:p w14:paraId="6DE06ADA" w14:textId="77777777" w:rsidR="007865BD" w:rsidRPr="00E857AE" w:rsidRDefault="007865BD" w:rsidP="007865BD">
      <w:pPr>
        <w:pStyle w:val="ListParagraph"/>
        <w:spacing w:before="120" w:after="120" w:line="240" w:lineRule="auto"/>
        <w:ind w:left="567"/>
        <w:rPr>
          <w:rFonts w:ascii="Arial" w:hAnsi="Arial" w:cs="Arial"/>
          <w:b/>
          <w:i/>
          <w:sz w:val="24"/>
          <w:szCs w:val="24"/>
        </w:rPr>
      </w:pPr>
      <w:r w:rsidRPr="00E857AE">
        <w:rPr>
          <w:rFonts w:ascii="Arial" w:hAnsi="Arial" w:cs="Arial"/>
          <w:b/>
          <w:i/>
          <w:sz w:val="24"/>
          <w:szCs w:val="24"/>
        </w:rPr>
        <w:t>Expenses and allowances</w:t>
      </w:r>
      <w:r w:rsidR="000E2EBD">
        <w:rPr>
          <w:rFonts w:ascii="Arial" w:hAnsi="Arial" w:cs="Arial"/>
          <w:b/>
          <w:i/>
          <w:sz w:val="24"/>
          <w:szCs w:val="24"/>
        </w:rPr>
        <w:t xml:space="preserve">: </w:t>
      </w:r>
      <w:r w:rsidR="000E2EBD" w:rsidRPr="000E2EBD">
        <w:rPr>
          <w:rFonts w:ascii="Arial" w:hAnsi="Arial" w:cs="Arial"/>
          <w:i/>
          <w:sz w:val="24"/>
          <w:szCs w:val="24"/>
        </w:rPr>
        <w:t>limited assurance</w:t>
      </w:r>
    </w:p>
    <w:p w14:paraId="5570181E" w14:textId="77777777" w:rsidR="000E2EBD" w:rsidRPr="000E2EBD" w:rsidRDefault="000E2EBD" w:rsidP="000E2EBD">
      <w:pPr>
        <w:pStyle w:val="ListParagraph"/>
        <w:numPr>
          <w:ilvl w:val="1"/>
          <w:numId w:val="24"/>
        </w:numPr>
        <w:tabs>
          <w:tab w:val="clear" w:pos="851"/>
        </w:tabs>
        <w:spacing w:before="120" w:after="120" w:line="240" w:lineRule="auto"/>
        <w:ind w:left="567" w:hanging="567"/>
        <w:rPr>
          <w:rFonts w:ascii="Arial" w:hAnsi="Arial" w:cs="Arial"/>
          <w:sz w:val="24"/>
          <w:szCs w:val="24"/>
        </w:rPr>
      </w:pPr>
      <w:r w:rsidRPr="000E2EBD">
        <w:rPr>
          <w:rFonts w:ascii="Arial" w:hAnsi="Arial" w:cs="Arial"/>
          <w:sz w:val="24"/>
          <w:szCs w:val="24"/>
        </w:rPr>
        <w:t xml:space="preserve">Although there has been an improvement in control since the last audit of expenses in October 2013, </w:t>
      </w:r>
      <w:r>
        <w:rPr>
          <w:rFonts w:ascii="Arial" w:hAnsi="Arial" w:cs="Arial"/>
          <w:sz w:val="24"/>
          <w:szCs w:val="24"/>
        </w:rPr>
        <w:t xml:space="preserve">when we were able to provide no </w:t>
      </w:r>
      <w:r w:rsidRPr="000E2EBD">
        <w:rPr>
          <w:rFonts w:ascii="Arial" w:hAnsi="Arial" w:cs="Arial"/>
          <w:sz w:val="24"/>
          <w:szCs w:val="24"/>
        </w:rPr>
        <w:t>assurance, there are still areas for significant improvement</w:t>
      </w:r>
      <w:r>
        <w:rPr>
          <w:rFonts w:ascii="Arial" w:hAnsi="Arial" w:cs="Arial"/>
          <w:sz w:val="24"/>
          <w:szCs w:val="24"/>
        </w:rPr>
        <w:t xml:space="preserve">, in </w:t>
      </w:r>
      <w:r w:rsidRPr="000E2EBD">
        <w:rPr>
          <w:rFonts w:ascii="Arial" w:hAnsi="Arial" w:cs="Arial"/>
          <w:sz w:val="24"/>
          <w:szCs w:val="24"/>
        </w:rPr>
        <w:t>particular</w:t>
      </w:r>
      <w:r>
        <w:rPr>
          <w:rFonts w:ascii="Arial" w:hAnsi="Arial" w:cs="Arial"/>
          <w:sz w:val="24"/>
          <w:szCs w:val="24"/>
        </w:rPr>
        <w:t xml:space="preserve"> </w:t>
      </w:r>
      <w:r w:rsidRPr="000E2EBD">
        <w:rPr>
          <w:rFonts w:ascii="Arial" w:hAnsi="Arial" w:cs="Arial"/>
          <w:sz w:val="24"/>
          <w:szCs w:val="24"/>
        </w:rPr>
        <w:t xml:space="preserve">ensuring </w:t>
      </w:r>
      <w:r>
        <w:rPr>
          <w:rFonts w:ascii="Arial" w:hAnsi="Arial" w:cs="Arial"/>
          <w:sz w:val="24"/>
          <w:szCs w:val="24"/>
        </w:rPr>
        <w:t xml:space="preserve">all </w:t>
      </w:r>
      <w:r w:rsidRPr="000E2EBD">
        <w:rPr>
          <w:rFonts w:ascii="Arial" w:hAnsi="Arial" w:cs="Arial"/>
          <w:sz w:val="24"/>
          <w:szCs w:val="24"/>
        </w:rPr>
        <w:t xml:space="preserve">staff and authorising managers are aware of and apply </w:t>
      </w:r>
      <w:r>
        <w:rPr>
          <w:rFonts w:ascii="Arial" w:hAnsi="Arial" w:cs="Arial"/>
          <w:sz w:val="24"/>
          <w:szCs w:val="24"/>
        </w:rPr>
        <w:t>the council policies</w:t>
      </w:r>
      <w:r w:rsidRPr="000E2EBD">
        <w:rPr>
          <w:rFonts w:ascii="Arial" w:hAnsi="Arial" w:cs="Arial"/>
          <w:sz w:val="24"/>
          <w:szCs w:val="24"/>
        </w:rPr>
        <w:t>. In some cases non-compliance has resulted in significant overpayments.</w:t>
      </w:r>
      <w:r>
        <w:rPr>
          <w:rFonts w:ascii="Arial" w:hAnsi="Arial" w:cs="Arial"/>
          <w:sz w:val="24"/>
          <w:szCs w:val="24"/>
        </w:rPr>
        <w:t xml:space="preserve"> For example t</w:t>
      </w:r>
      <w:r w:rsidRPr="000E2EBD">
        <w:rPr>
          <w:rFonts w:ascii="Arial" w:hAnsi="Arial" w:cs="Arial"/>
          <w:sz w:val="24"/>
          <w:szCs w:val="24"/>
        </w:rPr>
        <w:t>he maximum limits have been exceeded for overnight accommodation and evening meals</w:t>
      </w:r>
      <w:r>
        <w:rPr>
          <w:rFonts w:ascii="Arial" w:hAnsi="Arial" w:cs="Arial"/>
          <w:sz w:val="24"/>
          <w:szCs w:val="24"/>
        </w:rPr>
        <w:t xml:space="preserve">, and </w:t>
      </w:r>
      <w:r w:rsidRPr="000E2EBD">
        <w:rPr>
          <w:rFonts w:ascii="Arial" w:hAnsi="Arial" w:cs="Arial"/>
          <w:sz w:val="24"/>
          <w:szCs w:val="24"/>
        </w:rPr>
        <w:t xml:space="preserve">17 individuals </w:t>
      </w:r>
      <w:r>
        <w:rPr>
          <w:rFonts w:ascii="Arial" w:hAnsi="Arial" w:cs="Arial"/>
          <w:sz w:val="24"/>
          <w:szCs w:val="24"/>
        </w:rPr>
        <w:t xml:space="preserve">in </w:t>
      </w:r>
      <w:r w:rsidRPr="000E2EBD">
        <w:rPr>
          <w:rFonts w:ascii="Arial" w:hAnsi="Arial" w:cs="Arial"/>
          <w:sz w:val="24"/>
          <w:szCs w:val="24"/>
        </w:rPr>
        <w:t xml:space="preserve">CYP's Residential Care Service have been overpaid excess travel </w:t>
      </w:r>
      <w:r>
        <w:rPr>
          <w:rFonts w:ascii="Arial" w:hAnsi="Arial" w:cs="Arial"/>
          <w:sz w:val="24"/>
          <w:szCs w:val="24"/>
        </w:rPr>
        <w:t xml:space="preserve">allowances </w:t>
      </w:r>
      <w:r w:rsidRPr="000E2EBD">
        <w:rPr>
          <w:rFonts w:ascii="Arial" w:hAnsi="Arial" w:cs="Arial"/>
          <w:sz w:val="24"/>
          <w:szCs w:val="24"/>
        </w:rPr>
        <w:t>totalling more than £23,100</w:t>
      </w:r>
      <w:r>
        <w:rPr>
          <w:rFonts w:ascii="Arial" w:hAnsi="Arial" w:cs="Arial"/>
          <w:sz w:val="24"/>
          <w:szCs w:val="24"/>
        </w:rPr>
        <w:t xml:space="preserve"> </w:t>
      </w:r>
      <w:r w:rsidR="00276955">
        <w:rPr>
          <w:rFonts w:ascii="Arial" w:hAnsi="Arial" w:cs="Arial"/>
          <w:sz w:val="24"/>
          <w:szCs w:val="24"/>
        </w:rPr>
        <w:t>over</w:t>
      </w:r>
      <w:r>
        <w:rPr>
          <w:rFonts w:ascii="Arial" w:hAnsi="Arial" w:cs="Arial"/>
          <w:sz w:val="24"/>
          <w:szCs w:val="24"/>
        </w:rPr>
        <w:t xml:space="preserve"> the period 2011 to 2014.</w:t>
      </w:r>
    </w:p>
    <w:p w14:paraId="485A1888" w14:textId="7A0AE69B" w:rsidR="000E2EBD" w:rsidRPr="001279B0" w:rsidRDefault="00D5774E" w:rsidP="001279B0">
      <w:pPr>
        <w:pStyle w:val="ListParagraph"/>
        <w:numPr>
          <w:ilvl w:val="1"/>
          <w:numId w:val="24"/>
        </w:numPr>
        <w:tabs>
          <w:tab w:val="clear" w:pos="851"/>
        </w:tabs>
        <w:spacing w:before="120" w:after="120" w:line="240" w:lineRule="auto"/>
        <w:ind w:left="567" w:hanging="567"/>
        <w:rPr>
          <w:rFonts w:ascii="Arial" w:hAnsi="Arial" w:cs="Arial"/>
          <w:sz w:val="24"/>
          <w:szCs w:val="24"/>
        </w:rPr>
      </w:pPr>
      <w:r>
        <w:rPr>
          <w:rFonts w:ascii="Arial" w:hAnsi="Arial" w:cs="Arial"/>
          <w:sz w:val="24"/>
          <w:szCs w:val="24"/>
        </w:rPr>
        <w:t>A</w:t>
      </w:r>
      <w:r w:rsidR="000E2EBD" w:rsidRPr="001279B0">
        <w:rPr>
          <w:rFonts w:ascii="Arial" w:hAnsi="Arial" w:cs="Arial"/>
          <w:sz w:val="24"/>
          <w:szCs w:val="24"/>
        </w:rPr>
        <w:t xml:space="preserve"> </w:t>
      </w:r>
      <w:r>
        <w:rPr>
          <w:rFonts w:ascii="Arial" w:hAnsi="Arial" w:cs="Arial"/>
          <w:sz w:val="24"/>
          <w:szCs w:val="24"/>
        </w:rPr>
        <w:t xml:space="preserve">draft </w:t>
      </w:r>
      <w:r w:rsidR="000E2EBD" w:rsidRPr="001279B0">
        <w:rPr>
          <w:rFonts w:ascii="Arial" w:hAnsi="Arial" w:cs="Arial"/>
          <w:sz w:val="24"/>
          <w:szCs w:val="24"/>
        </w:rPr>
        <w:t>policy for the recovery of overpayments to employees relating to salary, allowances, overtime and expense claims</w:t>
      </w:r>
      <w:r>
        <w:rPr>
          <w:rFonts w:ascii="Arial" w:hAnsi="Arial" w:cs="Arial"/>
          <w:sz w:val="24"/>
          <w:szCs w:val="24"/>
        </w:rPr>
        <w:t xml:space="preserve"> is to be considered</w:t>
      </w:r>
      <w:r w:rsidR="00136D96">
        <w:rPr>
          <w:rFonts w:ascii="Arial" w:hAnsi="Arial" w:cs="Arial"/>
          <w:sz w:val="24"/>
          <w:szCs w:val="24"/>
        </w:rPr>
        <w:t xml:space="preserve"> by Management Team and the trades unions through </w:t>
      </w:r>
      <w:r>
        <w:rPr>
          <w:rFonts w:ascii="Arial" w:hAnsi="Arial" w:cs="Arial"/>
          <w:sz w:val="24"/>
          <w:szCs w:val="24"/>
        </w:rPr>
        <w:t xml:space="preserve">the </w:t>
      </w:r>
      <w:r w:rsidRPr="00D5774E">
        <w:rPr>
          <w:rFonts w:ascii="Arial" w:hAnsi="Arial" w:cs="Arial"/>
          <w:sz w:val="24"/>
          <w:szCs w:val="24"/>
        </w:rPr>
        <w:t>Joint Negotiating and Consultative Forum</w:t>
      </w:r>
      <w:r>
        <w:rPr>
          <w:rFonts w:ascii="Arial" w:hAnsi="Arial" w:cs="Arial"/>
          <w:sz w:val="24"/>
          <w:szCs w:val="24"/>
        </w:rPr>
        <w:t xml:space="preserve"> </w:t>
      </w:r>
      <w:r w:rsidR="00136D96">
        <w:rPr>
          <w:rFonts w:ascii="Arial" w:hAnsi="Arial" w:cs="Arial"/>
          <w:sz w:val="24"/>
          <w:szCs w:val="24"/>
        </w:rPr>
        <w:t>process with a view to a p</w:t>
      </w:r>
      <w:r w:rsidR="00A43AFE">
        <w:rPr>
          <w:rFonts w:ascii="Arial" w:hAnsi="Arial" w:cs="Arial"/>
          <w:sz w:val="24"/>
          <w:szCs w:val="24"/>
        </w:rPr>
        <w:t>o</w:t>
      </w:r>
      <w:r w:rsidR="00136D96">
        <w:rPr>
          <w:rFonts w:ascii="Arial" w:hAnsi="Arial" w:cs="Arial"/>
          <w:sz w:val="24"/>
          <w:szCs w:val="24"/>
        </w:rPr>
        <w:t xml:space="preserve">licy being </w:t>
      </w:r>
      <w:r w:rsidR="00A43AFE">
        <w:rPr>
          <w:rFonts w:ascii="Arial" w:hAnsi="Arial" w:cs="Arial"/>
          <w:sz w:val="24"/>
          <w:szCs w:val="24"/>
        </w:rPr>
        <w:t>agreed by Employment Committee.</w:t>
      </w:r>
      <w:r w:rsidR="000E2EBD" w:rsidRPr="001279B0">
        <w:rPr>
          <w:rFonts w:ascii="Arial" w:hAnsi="Arial" w:cs="Arial"/>
          <w:sz w:val="24"/>
          <w:szCs w:val="24"/>
        </w:rPr>
        <w:t xml:space="preserve"> Although all employment contracts state that the council is able to recoup overpayments, the method, timing, circumstances and obligations of the employee have not yet been fully defined.</w:t>
      </w:r>
      <w:r w:rsidR="00276955">
        <w:rPr>
          <w:rFonts w:ascii="Arial" w:hAnsi="Arial" w:cs="Arial"/>
          <w:sz w:val="24"/>
          <w:szCs w:val="24"/>
        </w:rPr>
        <w:t xml:space="preserve"> When overpayments are found to have been made they are not always pursued or pursued promptly.</w:t>
      </w:r>
    </w:p>
    <w:p w14:paraId="436BE6E2" w14:textId="77777777" w:rsidR="007865BD" w:rsidRPr="00E857AE" w:rsidRDefault="007865BD" w:rsidP="007865BD">
      <w:pPr>
        <w:pStyle w:val="ListParagraph"/>
        <w:spacing w:before="120" w:after="120" w:line="240" w:lineRule="auto"/>
        <w:ind w:left="567"/>
        <w:rPr>
          <w:rFonts w:ascii="Arial" w:hAnsi="Arial" w:cs="Arial"/>
          <w:b/>
          <w:i/>
          <w:sz w:val="24"/>
          <w:szCs w:val="24"/>
        </w:rPr>
      </w:pPr>
      <w:r w:rsidRPr="00E857AE">
        <w:rPr>
          <w:rFonts w:ascii="Arial" w:hAnsi="Arial" w:cs="Arial"/>
          <w:b/>
          <w:i/>
          <w:sz w:val="24"/>
          <w:szCs w:val="24"/>
        </w:rPr>
        <w:t>Additional payments to staff</w:t>
      </w:r>
      <w:r w:rsidR="001279B0">
        <w:rPr>
          <w:rFonts w:ascii="Arial" w:hAnsi="Arial" w:cs="Arial"/>
          <w:b/>
          <w:i/>
          <w:sz w:val="24"/>
          <w:szCs w:val="24"/>
        </w:rPr>
        <w:t xml:space="preserve">: </w:t>
      </w:r>
      <w:r w:rsidR="001279B0" w:rsidRPr="001279B0">
        <w:rPr>
          <w:rFonts w:ascii="Arial" w:hAnsi="Arial" w:cs="Arial"/>
          <w:i/>
          <w:sz w:val="24"/>
          <w:szCs w:val="24"/>
        </w:rPr>
        <w:t>substantial assurance</w:t>
      </w:r>
    </w:p>
    <w:p w14:paraId="1D853EE6" w14:textId="77777777" w:rsidR="0093523F" w:rsidRPr="0093523F" w:rsidRDefault="001279B0" w:rsidP="0093523F">
      <w:pPr>
        <w:pStyle w:val="ListParagraph"/>
        <w:numPr>
          <w:ilvl w:val="1"/>
          <w:numId w:val="24"/>
        </w:numPr>
        <w:tabs>
          <w:tab w:val="clear" w:pos="851"/>
        </w:tabs>
        <w:spacing w:before="120" w:after="120" w:line="240" w:lineRule="auto"/>
        <w:ind w:left="567" w:hanging="567"/>
        <w:rPr>
          <w:rFonts w:ascii="Arial" w:hAnsi="Arial" w:cs="Arial"/>
          <w:sz w:val="24"/>
          <w:szCs w:val="24"/>
        </w:rPr>
      </w:pPr>
      <w:r w:rsidRPr="0093523F">
        <w:rPr>
          <w:rFonts w:ascii="Arial" w:hAnsi="Arial" w:cs="Arial"/>
          <w:sz w:val="24"/>
          <w:szCs w:val="24"/>
        </w:rPr>
        <w:t>Employees access the Oracle Self Service system to input claims for hours worked in addition to their basic contracted hours</w:t>
      </w:r>
      <w:r w:rsidR="0093523F" w:rsidRPr="0093523F">
        <w:rPr>
          <w:rFonts w:ascii="Arial" w:hAnsi="Arial" w:cs="Arial"/>
          <w:sz w:val="24"/>
          <w:szCs w:val="24"/>
        </w:rPr>
        <w:t xml:space="preserve"> and these c</w:t>
      </w:r>
      <w:r w:rsidRPr="0093523F">
        <w:rPr>
          <w:rFonts w:ascii="Arial" w:hAnsi="Arial" w:cs="Arial"/>
          <w:sz w:val="24"/>
          <w:szCs w:val="24"/>
        </w:rPr>
        <w:t>laims are then validated and authorised by managers. In 2013 we completed a review of the controls over the processing of additional salary payments and found that both overpayments and underpayments had been made to some council employees due to incorrectly completed claims</w:t>
      </w:r>
      <w:r w:rsidR="0093523F" w:rsidRPr="0093523F">
        <w:rPr>
          <w:rFonts w:ascii="Arial" w:hAnsi="Arial" w:cs="Arial"/>
          <w:sz w:val="24"/>
          <w:szCs w:val="24"/>
        </w:rPr>
        <w:t>,</w:t>
      </w:r>
      <w:r w:rsidRPr="0093523F">
        <w:rPr>
          <w:rFonts w:ascii="Arial" w:hAnsi="Arial" w:cs="Arial"/>
          <w:sz w:val="24"/>
          <w:szCs w:val="24"/>
        </w:rPr>
        <w:t xml:space="preserve"> including employees within the Domiciliary Service </w:t>
      </w:r>
      <w:r w:rsidR="0093523F" w:rsidRPr="0093523F">
        <w:rPr>
          <w:rFonts w:ascii="Arial" w:hAnsi="Arial" w:cs="Arial"/>
          <w:sz w:val="24"/>
          <w:szCs w:val="24"/>
        </w:rPr>
        <w:t xml:space="preserve">(in ASHW) </w:t>
      </w:r>
      <w:r w:rsidRPr="0093523F">
        <w:rPr>
          <w:rFonts w:ascii="Arial" w:hAnsi="Arial" w:cs="Arial"/>
          <w:sz w:val="24"/>
          <w:szCs w:val="24"/>
        </w:rPr>
        <w:t>and Care Services</w:t>
      </w:r>
      <w:r w:rsidR="0093523F" w:rsidRPr="0093523F">
        <w:rPr>
          <w:rFonts w:ascii="Arial" w:hAnsi="Arial" w:cs="Arial"/>
          <w:sz w:val="24"/>
          <w:szCs w:val="24"/>
        </w:rPr>
        <w:t xml:space="preserve"> (within LCCG).</w:t>
      </w:r>
    </w:p>
    <w:p w14:paraId="1BCACC62" w14:textId="77777777" w:rsidR="001279B0" w:rsidRDefault="0041326B" w:rsidP="0093523F">
      <w:pPr>
        <w:pStyle w:val="ListParagraph"/>
        <w:numPr>
          <w:ilvl w:val="1"/>
          <w:numId w:val="24"/>
        </w:numPr>
        <w:tabs>
          <w:tab w:val="clear" w:pos="851"/>
        </w:tabs>
        <w:spacing w:before="120" w:after="120" w:line="240" w:lineRule="auto"/>
        <w:ind w:left="567" w:hanging="567"/>
        <w:rPr>
          <w:rFonts w:ascii="Arial" w:hAnsi="Arial" w:cs="Arial"/>
          <w:sz w:val="24"/>
          <w:szCs w:val="24"/>
        </w:rPr>
      </w:pPr>
      <w:r>
        <w:rPr>
          <w:rFonts w:ascii="Arial" w:hAnsi="Arial" w:cs="Arial"/>
          <w:sz w:val="24"/>
          <w:szCs w:val="24"/>
        </w:rPr>
        <w:t>Small e</w:t>
      </w:r>
      <w:r w:rsidR="0093523F" w:rsidRPr="0093523F">
        <w:rPr>
          <w:rFonts w:ascii="Arial" w:hAnsi="Arial" w:cs="Arial"/>
          <w:sz w:val="24"/>
          <w:szCs w:val="24"/>
        </w:rPr>
        <w:t xml:space="preserve">rrors are still occurring when processing additional payment claims, although the number of errors has reduced. Generally, employees and managers seem to have a better understanding of the payment claims process and the Oracle system, </w:t>
      </w:r>
      <w:r w:rsidR="005961BA">
        <w:rPr>
          <w:rFonts w:ascii="Arial" w:hAnsi="Arial" w:cs="Arial"/>
          <w:sz w:val="24"/>
          <w:szCs w:val="24"/>
        </w:rPr>
        <w:t>although</w:t>
      </w:r>
      <w:r w:rsidR="0093523F" w:rsidRPr="0093523F">
        <w:rPr>
          <w:rFonts w:ascii="Arial" w:hAnsi="Arial" w:cs="Arial"/>
          <w:sz w:val="24"/>
          <w:szCs w:val="24"/>
        </w:rPr>
        <w:t xml:space="preserve"> the intranet guidance for additional payments claims remains limited and completion of the e-learning modules, although recommended, is not compulsory. However we are now able to provide substantial assurance over the processing of additional payments within the Domiciliary Service and Care Services.</w:t>
      </w:r>
    </w:p>
    <w:p w14:paraId="4E0F8260" w14:textId="77777777" w:rsidR="000A12D5" w:rsidRDefault="000A12D5" w:rsidP="006E29C7">
      <w:pPr>
        <w:pStyle w:val="ListParagraph"/>
        <w:numPr>
          <w:ilvl w:val="1"/>
          <w:numId w:val="24"/>
        </w:numPr>
        <w:tabs>
          <w:tab w:val="clear" w:pos="851"/>
        </w:tabs>
        <w:spacing w:before="120" w:after="120" w:line="240" w:lineRule="auto"/>
        <w:ind w:left="567" w:hanging="567"/>
        <w:rPr>
          <w:rFonts w:ascii="Arial" w:hAnsi="Arial" w:cs="Arial"/>
          <w:sz w:val="24"/>
          <w:szCs w:val="24"/>
        </w:rPr>
      </w:pPr>
      <w:r w:rsidRPr="000A12D5">
        <w:rPr>
          <w:rFonts w:ascii="Arial" w:hAnsi="Arial" w:cs="Arial"/>
          <w:sz w:val="24"/>
          <w:szCs w:val="24"/>
        </w:rPr>
        <w:t>We also reviewed the planned overtime payments made to staff in ASHW who provide capacity to assist the NHS in discharging patients from its acute trusts.</w:t>
      </w:r>
      <w:r>
        <w:rPr>
          <w:rFonts w:ascii="Arial" w:hAnsi="Arial" w:cs="Arial"/>
          <w:sz w:val="24"/>
          <w:szCs w:val="24"/>
        </w:rPr>
        <w:t xml:space="preserve"> We have provided substantial assurance that the payments to staff are effectively controlled, but it is not clear that the risk that staff work excessive hours is adequately managed, or that </w:t>
      </w:r>
      <w:r w:rsidRPr="000A12D5">
        <w:rPr>
          <w:rFonts w:ascii="Arial" w:hAnsi="Arial" w:cs="Arial"/>
          <w:sz w:val="24"/>
          <w:szCs w:val="24"/>
        </w:rPr>
        <w:t>reimbursement is properly achieved from the NHS</w:t>
      </w:r>
      <w:r>
        <w:rPr>
          <w:rFonts w:ascii="Arial" w:hAnsi="Arial" w:cs="Arial"/>
          <w:sz w:val="24"/>
          <w:szCs w:val="24"/>
        </w:rPr>
        <w:t>.</w:t>
      </w:r>
    </w:p>
    <w:p w14:paraId="44096E3F" w14:textId="77777777" w:rsidR="0093523F" w:rsidRPr="000A12D5" w:rsidRDefault="000A12D5" w:rsidP="006E29C7">
      <w:pPr>
        <w:pStyle w:val="ListParagraph"/>
        <w:numPr>
          <w:ilvl w:val="1"/>
          <w:numId w:val="24"/>
        </w:numPr>
        <w:tabs>
          <w:tab w:val="clear" w:pos="851"/>
        </w:tabs>
        <w:spacing w:before="120" w:after="120" w:line="240" w:lineRule="auto"/>
        <w:ind w:left="567" w:hanging="567"/>
        <w:rPr>
          <w:rFonts w:ascii="Arial" w:hAnsi="Arial" w:cs="Arial"/>
          <w:sz w:val="24"/>
          <w:szCs w:val="24"/>
        </w:rPr>
      </w:pPr>
      <w:r>
        <w:rPr>
          <w:rFonts w:ascii="Arial" w:hAnsi="Arial" w:cs="Arial"/>
          <w:sz w:val="24"/>
          <w:szCs w:val="24"/>
        </w:rPr>
        <w:t>T</w:t>
      </w:r>
      <w:r w:rsidR="0093523F" w:rsidRPr="000A12D5">
        <w:rPr>
          <w:rFonts w:ascii="Arial" w:hAnsi="Arial" w:cs="Arial"/>
          <w:sz w:val="24"/>
          <w:szCs w:val="24"/>
        </w:rPr>
        <w:t xml:space="preserve">he Internal Audit Service </w:t>
      </w:r>
      <w:r w:rsidR="00276955" w:rsidRPr="000A12D5">
        <w:rPr>
          <w:rFonts w:ascii="Arial" w:hAnsi="Arial" w:cs="Arial"/>
          <w:sz w:val="24"/>
          <w:szCs w:val="24"/>
        </w:rPr>
        <w:t xml:space="preserve">has </w:t>
      </w:r>
      <w:r>
        <w:rPr>
          <w:rFonts w:ascii="Arial" w:hAnsi="Arial" w:cs="Arial"/>
          <w:sz w:val="24"/>
          <w:szCs w:val="24"/>
        </w:rPr>
        <w:t xml:space="preserve">also </w:t>
      </w:r>
      <w:r w:rsidR="00276955" w:rsidRPr="000A12D5">
        <w:rPr>
          <w:rFonts w:ascii="Arial" w:hAnsi="Arial" w:cs="Arial"/>
          <w:sz w:val="24"/>
          <w:szCs w:val="24"/>
        </w:rPr>
        <w:t xml:space="preserve">recently been made </w:t>
      </w:r>
      <w:r w:rsidR="0093523F" w:rsidRPr="000A12D5">
        <w:rPr>
          <w:rFonts w:ascii="Arial" w:hAnsi="Arial" w:cs="Arial"/>
          <w:sz w:val="24"/>
          <w:szCs w:val="24"/>
        </w:rPr>
        <w:t xml:space="preserve">aware that </w:t>
      </w:r>
      <w:r w:rsidR="00276955" w:rsidRPr="000A12D5">
        <w:rPr>
          <w:rFonts w:ascii="Arial" w:hAnsi="Arial" w:cs="Arial"/>
          <w:sz w:val="24"/>
          <w:szCs w:val="24"/>
        </w:rPr>
        <w:t xml:space="preserve">potentially significant </w:t>
      </w:r>
      <w:r w:rsidR="0093523F" w:rsidRPr="000A12D5">
        <w:rPr>
          <w:rFonts w:ascii="Arial" w:hAnsi="Arial" w:cs="Arial"/>
          <w:sz w:val="24"/>
          <w:szCs w:val="24"/>
        </w:rPr>
        <w:t>incorrect additional payments have been made</w:t>
      </w:r>
      <w:r w:rsidR="00276955" w:rsidRPr="000A12D5">
        <w:rPr>
          <w:rFonts w:ascii="Arial" w:hAnsi="Arial" w:cs="Arial"/>
          <w:sz w:val="24"/>
          <w:szCs w:val="24"/>
        </w:rPr>
        <w:t>, monthly,</w:t>
      </w:r>
      <w:r w:rsidR="0093523F" w:rsidRPr="000A12D5">
        <w:rPr>
          <w:rFonts w:ascii="Arial" w:hAnsi="Arial" w:cs="Arial"/>
          <w:sz w:val="24"/>
          <w:szCs w:val="24"/>
        </w:rPr>
        <w:t xml:space="preserve"> to a number of employees over recent years</w:t>
      </w:r>
      <w:r w:rsidR="00276955" w:rsidRPr="000A12D5">
        <w:rPr>
          <w:rFonts w:ascii="Arial" w:hAnsi="Arial" w:cs="Arial"/>
          <w:sz w:val="24"/>
          <w:szCs w:val="24"/>
        </w:rPr>
        <w:t xml:space="preserve"> within ASHW's Adult Disability Provider Services</w:t>
      </w:r>
      <w:r w:rsidR="0093523F" w:rsidRPr="000A12D5">
        <w:rPr>
          <w:rFonts w:ascii="Arial" w:hAnsi="Arial" w:cs="Arial"/>
          <w:sz w:val="24"/>
          <w:szCs w:val="24"/>
        </w:rPr>
        <w:t>.</w:t>
      </w:r>
      <w:r>
        <w:rPr>
          <w:rFonts w:ascii="Arial" w:hAnsi="Arial" w:cs="Arial"/>
          <w:sz w:val="24"/>
          <w:szCs w:val="24"/>
        </w:rPr>
        <w:t xml:space="preserve"> Managers in the service are still working to consider and address this.</w:t>
      </w:r>
    </w:p>
    <w:p w14:paraId="38D74AC4" w14:textId="77777777" w:rsidR="007865BD" w:rsidRPr="00132640" w:rsidRDefault="007865BD" w:rsidP="00743F49">
      <w:pPr>
        <w:pStyle w:val="ListParagraph"/>
        <w:spacing w:before="240" w:after="120" w:line="240" w:lineRule="auto"/>
        <w:ind w:left="567"/>
        <w:rPr>
          <w:rFonts w:ascii="Arial" w:hAnsi="Arial" w:cs="Arial"/>
          <w:b/>
          <w:sz w:val="24"/>
          <w:szCs w:val="24"/>
        </w:rPr>
      </w:pPr>
      <w:r w:rsidRPr="00132640">
        <w:rPr>
          <w:rFonts w:ascii="Arial" w:hAnsi="Arial" w:cs="Arial"/>
          <w:b/>
          <w:sz w:val="24"/>
          <w:szCs w:val="24"/>
        </w:rPr>
        <w:lastRenderedPageBreak/>
        <w:t>Adult Services, Health and Wellbeing Directorate (ASHW)</w:t>
      </w:r>
    </w:p>
    <w:p w14:paraId="365C1FEA" w14:textId="77777777" w:rsidR="007865BD" w:rsidRPr="00132640" w:rsidRDefault="007865BD" w:rsidP="007865BD">
      <w:pPr>
        <w:pStyle w:val="ListParagraph"/>
        <w:spacing w:before="120" w:after="120" w:line="240" w:lineRule="auto"/>
        <w:ind w:left="567"/>
        <w:rPr>
          <w:rFonts w:ascii="Arial" w:hAnsi="Arial" w:cs="Arial"/>
          <w:b/>
          <w:i/>
          <w:sz w:val="24"/>
          <w:szCs w:val="24"/>
        </w:rPr>
      </w:pPr>
      <w:proofErr w:type="spellStart"/>
      <w:r w:rsidRPr="00132640">
        <w:rPr>
          <w:rFonts w:ascii="Arial" w:hAnsi="Arial" w:cs="Arial"/>
          <w:b/>
          <w:i/>
          <w:sz w:val="24"/>
          <w:szCs w:val="24"/>
        </w:rPr>
        <w:t>Reablement</w:t>
      </w:r>
      <w:proofErr w:type="spellEnd"/>
      <w:r w:rsidR="00D90CD9">
        <w:rPr>
          <w:rFonts w:ascii="Arial" w:hAnsi="Arial" w:cs="Arial"/>
          <w:b/>
          <w:i/>
          <w:sz w:val="24"/>
          <w:szCs w:val="24"/>
        </w:rPr>
        <w:t xml:space="preserve">: </w:t>
      </w:r>
      <w:r w:rsidR="00D90CD9" w:rsidRPr="00982197">
        <w:rPr>
          <w:rFonts w:ascii="Arial" w:hAnsi="Arial" w:cs="Arial"/>
          <w:i/>
          <w:sz w:val="24"/>
          <w:szCs w:val="24"/>
        </w:rPr>
        <w:t>substantial assurance</w:t>
      </w:r>
    </w:p>
    <w:p w14:paraId="07411E44" w14:textId="77777777" w:rsidR="00FA5993" w:rsidRPr="00FA5993" w:rsidRDefault="00FA5993" w:rsidP="00FA5993">
      <w:pPr>
        <w:pStyle w:val="ListParagraph"/>
        <w:numPr>
          <w:ilvl w:val="1"/>
          <w:numId w:val="24"/>
        </w:numPr>
        <w:tabs>
          <w:tab w:val="clear" w:pos="851"/>
        </w:tabs>
        <w:spacing w:before="120" w:after="120" w:line="240" w:lineRule="auto"/>
        <w:ind w:left="567" w:hanging="567"/>
        <w:rPr>
          <w:rFonts w:ascii="Arial" w:hAnsi="Arial" w:cs="Arial"/>
          <w:sz w:val="24"/>
          <w:szCs w:val="24"/>
        </w:rPr>
      </w:pPr>
      <w:r w:rsidRPr="00FA5993">
        <w:rPr>
          <w:rFonts w:ascii="Arial" w:hAnsi="Arial" w:cs="Arial"/>
          <w:sz w:val="24"/>
          <w:szCs w:val="24"/>
        </w:rPr>
        <w:t xml:space="preserve">The </w:t>
      </w:r>
      <w:proofErr w:type="spellStart"/>
      <w:r w:rsidRPr="00FA5993">
        <w:rPr>
          <w:rFonts w:ascii="Arial" w:hAnsi="Arial" w:cs="Arial"/>
          <w:sz w:val="24"/>
          <w:szCs w:val="24"/>
        </w:rPr>
        <w:t>Reablement</w:t>
      </w:r>
      <w:proofErr w:type="spellEnd"/>
      <w:r w:rsidRPr="00FA5993">
        <w:rPr>
          <w:rFonts w:ascii="Arial" w:hAnsi="Arial" w:cs="Arial"/>
          <w:sz w:val="24"/>
          <w:szCs w:val="24"/>
        </w:rPr>
        <w:t xml:space="preserve"> Service exists to help people re-learn valuable life skills that have been lost due to a period of illness or incapacity. Support plans are developed with the service users and put in place for a period of up to six weeks to encourage individuals to do more for themselves and to become as independent as possible, thereby minimising the need for long-term homecare packages. The involvement of service users in their own service plans is key, and we found that this is achieved and that service users' needs are appropriately captured and addressed.</w:t>
      </w:r>
    </w:p>
    <w:p w14:paraId="6832CA67" w14:textId="77777777" w:rsidR="007865BD" w:rsidRPr="00132640" w:rsidRDefault="007865BD" w:rsidP="007865BD">
      <w:pPr>
        <w:pStyle w:val="ListParagraph"/>
        <w:spacing w:before="120" w:after="120" w:line="240" w:lineRule="auto"/>
        <w:ind w:left="567"/>
        <w:rPr>
          <w:rFonts w:ascii="Arial" w:hAnsi="Arial" w:cs="Arial"/>
          <w:b/>
          <w:i/>
          <w:sz w:val="24"/>
          <w:szCs w:val="24"/>
        </w:rPr>
      </w:pPr>
      <w:r w:rsidRPr="00132640">
        <w:rPr>
          <w:rFonts w:ascii="Arial" w:hAnsi="Arial" w:cs="Arial"/>
          <w:b/>
          <w:i/>
          <w:sz w:val="24"/>
          <w:szCs w:val="24"/>
        </w:rPr>
        <w:t>Support planning</w:t>
      </w:r>
      <w:r w:rsidR="00D90CD9">
        <w:rPr>
          <w:rFonts w:ascii="Arial" w:hAnsi="Arial" w:cs="Arial"/>
          <w:b/>
          <w:i/>
          <w:sz w:val="24"/>
          <w:szCs w:val="24"/>
        </w:rPr>
        <w:t xml:space="preserve">: </w:t>
      </w:r>
      <w:r w:rsidR="00D90CD9" w:rsidRPr="00982197">
        <w:rPr>
          <w:rFonts w:ascii="Arial" w:hAnsi="Arial" w:cs="Arial"/>
          <w:i/>
          <w:sz w:val="24"/>
          <w:szCs w:val="24"/>
        </w:rPr>
        <w:t>substantial assurance</w:t>
      </w:r>
    </w:p>
    <w:p w14:paraId="7F8BB7FE" w14:textId="77777777" w:rsidR="00FA5993" w:rsidRPr="00132640" w:rsidRDefault="00FA5993" w:rsidP="00BF67B5">
      <w:pPr>
        <w:pStyle w:val="ListParagraph"/>
        <w:numPr>
          <w:ilvl w:val="1"/>
          <w:numId w:val="24"/>
        </w:numPr>
        <w:tabs>
          <w:tab w:val="clear" w:pos="851"/>
        </w:tabs>
        <w:spacing w:before="120" w:after="120" w:line="240" w:lineRule="auto"/>
        <w:ind w:left="567" w:hanging="567"/>
        <w:rPr>
          <w:rFonts w:ascii="Arial" w:hAnsi="Arial" w:cs="Arial"/>
          <w:sz w:val="24"/>
          <w:szCs w:val="24"/>
        </w:rPr>
      </w:pPr>
      <w:r w:rsidRPr="00132640">
        <w:rPr>
          <w:rFonts w:ascii="Arial" w:hAnsi="Arial" w:cs="Arial"/>
          <w:sz w:val="24"/>
          <w:szCs w:val="24"/>
        </w:rPr>
        <w:t xml:space="preserve">Self-directed support enables service users to take control of the </w:t>
      </w:r>
      <w:r w:rsidR="00132640" w:rsidRPr="00132640">
        <w:rPr>
          <w:rFonts w:ascii="Arial" w:hAnsi="Arial" w:cs="Arial"/>
          <w:sz w:val="24"/>
          <w:szCs w:val="24"/>
        </w:rPr>
        <w:t xml:space="preserve">on-going </w:t>
      </w:r>
      <w:r w:rsidRPr="00132640">
        <w:rPr>
          <w:rFonts w:ascii="Arial" w:hAnsi="Arial" w:cs="Arial"/>
          <w:sz w:val="24"/>
          <w:szCs w:val="24"/>
        </w:rPr>
        <w:t>personal social care support they receive, based on the budget allocated to them and the range of universal and informal supports available</w:t>
      </w:r>
      <w:r w:rsidR="00132640" w:rsidRPr="00132640">
        <w:rPr>
          <w:rFonts w:ascii="Arial" w:hAnsi="Arial" w:cs="Arial"/>
          <w:sz w:val="24"/>
          <w:szCs w:val="24"/>
        </w:rPr>
        <w:t xml:space="preserve"> to ensure their safety</w:t>
      </w:r>
      <w:r w:rsidRPr="00132640">
        <w:rPr>
          <w:rFonts w:ascii="Arial" w:hAnsi="Arial" w:cs="Arial"/>
          <w:sz w:val="24"/>
          <w:szCs w:val="24"/>
        </w:rPr>
        <w:t xml:space="preserve">. </w:t>
      </w:r>
      <w:r w:rsidR="00132640" w:rsidRPr="00132640">
        <w:rPr>
          <w:rFonts w:ascii="Arial" w:hAnsi="Arial" w:cs="Arial"/>
          <w:sz w:val="24"/>
          <w:szCs w:val="24"/>
        </w:rPr>
        <w:t xml:space="preserve">The preferred route is for the service user to work with community support planners, other service providers, family or friends to develop the most appropriate support. </w:t>
      </w:r>
    </w:p>
    <w:p w14:paraId="2E1E7EAA" w14:textId="77777777" w:rsidR="007865BD" w:rsidRPr="00132640" w:rsidRDefault="00132640" w:rsidP="00FC6BB8">
      <w:pPr>
        <w:pStyle w:val="ListParagraph"/>
        <w:numPr>
          <w:ilvl w:val="1"/>
          <w:numId w:val="24"/>
        </w:numPr>
        <w:tabs>
          <w:tab w:val="clear" w:pos="851"/>
        </w:tabs>
        <w:spacing w:before="120" w:after="120" w:line="240" w:lineRule="auto"/>
        <w:ind w:left="567" w:hanging="567"/>
        <w:rPr>
          <w:rFonts w:ascii="Arial" w:hAnsi="Arial" w:cs="Arial"/>
          <w:sz w:val="24"/>
          <w:szCs w:val="24"/>
        </w:rPr>
      </w:pPr>
      <w:r w:rsidRPr="00132640">
        <w:rPr>
          <w:rFonts w:ascii="Arial" w:hAnsi="Arial" w:cs="Arial"/>
          <w:sz w:val="24"/>
          <w:szCs w:val="24"/>
        </w:rPr>
        <w:t>Key to support planning are the quality and timeliness of the customer journey and the support plans produced</w:t>
      </w:r>
      <w:r w:rsidR="00CE082C">
        <w:rPr>
          <w:rFonts w:ascii="Arial" w:hAnsi="Arial" w:cs="Arial"/>
          <w:sz w:val="24"/>
          <w:szCs w:val="24"/>
        </w:rPr>
        <w:t>,</w:t>
      </w:r>
      <w:r w:rsidRPr="00132640">
        <w:rPr>
          <w:rFonts w:ascii="Arial" w:hAnsi="Arial" w:cs="Arial"/>
          <w:sz w:val="24"/>
          <w:szCs w:val="24"/>
        </w:rPr>
        <w:t xml:space="preserve"> consideration of the service users' preferences</w:t>
      </w:r>
      <w:r w:rsidR="00CE082C">
        <w:rPr>
          <w:rFonts w:ascii="Arial" w:hAnsi="Arial" w:cs="Arial"/>
          <w:sz w:val="24"/>
          <w:szCs w:val="24"/>
        </w:rPr>
        <w:t>,</w:t>
      </w:r>
      <w:r w:rsidRPr="00132640">
        <w:rPr>
          <w:rFonts w:ascii="Arial" w:hAnsi="Arial" w:cs="Arial"/>
          <w:sz w:val="24"/>
          <w:szCs w:val="24"/>
        </w:rPr>
        <w:t xml:space="preserve"> appropriate utilisation of universal services and informal support arrangements</w:t>
      </w:r>
      <w:r w:rsidR="00CE082C">
        <w:rPr>
          <w:rFonts w:ascii="Arial" w:hAnsi="Arial" w:cs="Arial"/>
          <w:sz w:val="24"/>
          <w:szCs w:val="24"/>
        </w:rPr>
        <w:t>,</w:t>
      </w:r>
      <w:r w:rsidRPr="00132640">
        <w:rPr>
          <w:rFonts w:ascii="Arial" w:hAnsi="Arial" w:cs="Arial"/>
          <w:sz w:val="24"/>
          <w:szCs w:val="24"/>
        </w:rPr>
        <w:t xml:space="preserve"> and </w:t>
      </w:r>
      <w:r w:rsidR="00CE082C">
        <w:rPr>
          <w:rFonts w:ascii="Arial" w:hAnsi="Arial" w:cs="Arial"/>
          <w:sz w:val="24"/>
          <w:szCs w:val="24"/>
        </w:rPr>
        <w:t xml:space="preserve">effective </w:t>
      </w:r>
      <w:r w:rsidRPr="00132640">
        <w:rPr>
          <w:rFonts w:ascii="Arial" w:hAnsi="Arial" w:cs="Arial"/>
          <w:sz w:val="24"/>
          <w:szCs w:val="24"/>
        </w:rPr>
        <w:t>monitoring arrangements. We found that s</w:t>
      </w:r>
      <w:r w:rsidR="007865BD" w:rsidRPr="00132640">
        <w:rPr>
          <w:rFonts w:ascii="Arial" w:hAnsi="Arial" w:cs="Arial"/>
          <w:sz w:val="24"/>
          <w:szCs w:val="24"/>
        </w:rPr>
        <w:t>ervice users are involved in support planning and clear, robust, person-centred plans document the assistance required by service users, their support preferences and their individual capabilities.</w:t>
      </w:r>
    </w:p>
    <w:p w14:paraId="62EE0F1B" w14:textId="77777777" w:rsidR="007865BD" w:rsidRPr="00743F49" w:rsidRDefault="007865BD" w:rsidP="00743F49">
      <w:pPr>
        <w:pStyle w:val="ListParagraph"/>
        <w:spacing w:before="240" w:after="120" w:line="240" w:lineRule="auto"/>
        <w:ind w:left="567"/>
        <w:rPr>
          <w:rFonts w:ascii="Arial" w:hAnsi="Arial" w:cs="Arial"/>
          <w:b/>
          <w:sz w:val="24"/>
          <w:szCs w:val="24"/>
        </w:rPr>
      </w:pPr>
      <w:r w:rsidRPr="00132640">
        <w:rPr>
          <w:rFonts w:ascii="Arial" w:hAnsi="Arial" w:cs="Arial"/>
          <w:b/>
          <w:sz w:val="24"/>
          <w:szCs w:val="24"/>
        </w:rPr>
        <w:t>Public Health</w:t>
      </w:r>
    </w:p>
    <w:p w14:paraId="61C6665C" w14:textId="77777777" w:rsidR="007865BD" w:rsidRPr="00132640" w:rsidRDefault="007865BD" w:rsidP="007865BD">
      <w:pPr>
        <w:pStyle w:val="ListParagraph"/>
        <w:spacing w:before="120" w:after="120" w:line="240" w:lineRule="auto"/>
        <w:ind w:left="567"/>
        <w:rPr>
          <w:rFonts w:ascii="Arial" w:hAnsi="Arial" w:cs="Arial"/>
          <w:b/>
          <w:i/>
          <w:sz w:val="24"/>
          <w:szCs w:val="24"/>
        </w:rPr>
      </w:pPr>
      <w:r w:rsidRPr="00132640">
        <w:rPr>
          <w:rFonts w:ascii="Arial" w:hAnsi="Arial" w:cs="Arial"/>
          <w:b/>
          <w:i/>
          <w:sz w:val="24"/>
          <w:szCs w:val="24"/>
        </w:rPr>
        <w:t>Compliance with the scheme of delegation</w:t>
      </w:r>
      <w:r w:rsidR="00D90CD9">
        <w:rPr>
          <w:rFonts w:ascii="Arial" w:hAnsi="Arial" w:cs="Arial"/>
          <w:b/>
          <w:i/>
          <w:sz w:val="24"/>
          <w:szCs w:val="24"/>
        </w:rPr>
        <w:t xml:space="preserve">: </w:t>
      </w:r>
      <w:r w:rsidR="00D90CD9" w:rsidRPr="00982197">
        <w:rPr>
          <w:rFonts w:ascii="Arial" w:hAnsi="Arial" w:cs="Arial"/>
          <w:i/>
          <w:sz w:val="24"/>
          <w:szCs w:val="24"/>
        </w:rPr>
        <w:t>substantial assurance</w:t>
      </w:r>
    </w:p>
    <w:p w14:paraId="1351B250" w14:textId="77777777" w:rsidR="00276955" w:rsidRPr="0041326B" w:rsidRDefault="00D90CD9" w:rsidP="0041326B">
      <w:pPr>
        <w:pStyle w:val="ListParagraph"/>
        <w:numPr>
          <w:ilvl w:val="1"/>
          <w:numId w:val="24"/>
        </w:numPr>
        <w:tabs>
          <w:tab w:val="clear" w:pos="851"/>
        </w:tabs>
        <w:spacing w:before="120" w:after="120" w:line="240" w:lineRule="auto"/>
        <w:ind w:left="567" w:hanging="567"/>
        <w:rPr>
          <w:rFonts w:ascii="Arial" w:hAnsi="Arial" w:cs="Arial"/>
          <w:b/>
          <w:sz w:val="24"/>
          <w:szCs w:val="24"/>
        </w:rPr>
      </w:pPr>
      <w:r w:rsidRPr="00D4604A">
        <w:rPr>
          <w:rFonts w:ascii="Arial" w:hAnsi="Arial" w:cs="Arial"/>
          <w:sz w:val="24"/>
          <w:szCs w:val="24"/>
        </w:rPr>
        <w:t xml:space="preserve">The council's scheme of delegation gives authority to </w:t>
      </w:r>
      <w:r w:rsidR="006808DA">
        <w:rPr>
          <w:rFonts w:ascii="Arial" w:hAnsi="Arial" w:cs="Arial"/>
          <w:sz w:val="24"/>
          <w:szCs w:val="24"/>
        </w:rPr>
        <w:t xml:space="preserve">chief </w:t>
      </w:r>
      <w:r w:rsidRPr="00D4604A">
        <w:rPr>
          <w:rFonts w:ascii="Arial" w:hAnsi="Arial" w:cs="Arial"/>
          <w:sz w:val="24"/>
          <w:szCs w:val="24"/>
        </w:rPr>
        <w:t xml:space="preserve">officers to take decisions on the day-to-day operations of the council. Although we have provided substantial assurance overall on this area, </w:t>
      </w:r>
      <w:r w:rsidR="0041326B">
        <w:rPr>
          <w:rFonts w:ascii="Arial" w:hAnsi="Arial" w:cs="Arial"/>
          <w:sz w:val="24"/>
          <w:szCs w:val="24"/>
        </w:rPr>
        <w:t xml:space="preserve">we found a lack of clarity regarding the implementation of the council's procurement rules, including </w:t>
      </w:r>
      <w:r w:rsidR="0041326B" w:rsidRPr="00D4604A">
        <w:rPr>
          <w:rFonts w:ascii="Arial" w:hAnsi="Arial" w:cs="Arial"/>
          <w:sz w:val="24"/>
          <w:szCs w:val="24"/>
        </w:rPr>
        <w:t xml:space="preserve">the procedures to be followed where a </w:t>
      </w:r>
      <w:r w:rsidR="00D8433A">
        <w:rPr>
          <w:rFonts w:ascii="Arial" w:hAnsi="Arial" w:cs="Arial"/>
          <w:sz w:val="24"/>
          <w:szCs w:val="24"/>
        </w:rPr>
        <w:t>variation</w:t>
      </w:r>
      <w:r w:rsidR="0041326B" w:rsidRPr="00D4604A">
        <w:rPr>
          <w:rFonts w:ascii="Arial" w:hAnsi="Arial" w:cs="Arial"/>
          <w:sz w:val="24"/>
          <w:szCs w:val="24"/>
        </w:rPr>
        <w:t xml:space="preserve"> to an existing contract is required, or where contracts may be awarded to a single source supplier without seeking competitive tenders</w:t>
      </w:r>
      <w:r w:rsidR="0041326B">
        <w:rPr>
          <w:rFonts w:ascii="Arial" w:hAnsi="Arial" w:cs="Arial"/>
          <w:sz w:val="24"/>
          <w:szCs w:val="24"/>
        </w:rPr>
        <w:t xml:space="preserve">. </w:t>
      </w:r>
      <w:r w:rsidRPr="0041326B">
        <w:rPr>
          <w:rFonts w:ascii="Arial" w:hAnsi="Arial" w:cs="Arial"/>
          <w:sz w:val="24"/>
          <w:szCs w:val="24"/>
        </w:rPr>
        <w:t xml:space="preserve">A high proportion of decisions (three of ten sampled) were made retrospectively, and </w:t>
      </w:r>
      <w:r w:rsidR="00CE082C" w:rsidRPr="0041326B">
        <w:rPr>
          <w:rFonts w:ascii="Arial" w:hAnsi="Arial" w:cs="Arial"/>
          <w:sz w:val="24"/>
          <w:szCs w:val="24"/>
        </w:rPr>
        <w:t xml:space="preserve">the </w:t>
      </w:r>
      <w:r w:rsidRPr="0041326B">
        <w:rPr>
          <w:rFonts w:ascii="Arial" w:hAnsi="Arial" w:cs="Arial"/>
          <w:sz w:val="24"/>
          <w:szCs w:val="24"/>
        </w:rPr>
        <w:t>decisions taken are not routinely reported to the public health management team.</w:t>
      </w:r>
    </w:p>
    <w:p w14:paraId="3C586807" w14:textId="77777777" w:rsidR="000A0BD7" w:rsidRDefault="000A0BD7" w:rsidP="00743F49">
      <w:pPr>
        <w:pStyle w:val="ListParagraph"/>
        <w:spacing w:before="240" w:after="120" w:line="240" w:lineRule="auto"/>
        <w:ind w:left="567"/>
        <w:rPr>
          <w:rFonts w:ascii="Arial" w:hAnsi="Arial" w:cs="Arial"/>
          <w:b/>
          <w:sz w:val="24"/>
          <w:szCs w:val="24"/>
        </w:rPr>
      </w:pPr>
    </w:p>
    <w:p w14:paraId="269BA71E" w14:textId="77777777" w:rsidR="000A0BD7" w:rsidRDefault="000A0BD7" w:rsidP="00743F49">
      <w:pPr>
        <w:pStyle w:val="ListParagraph"/>
        <w:spacing w:before="240" w:after="120" w:line="240" w:lineRule="auto"/>
        <w:ind w:left="567"/>
        <w:rPr>
          <w:rFonts w:ascii="Arial" w:hAnsi="Arial" w:cs="Arial"/>
          <w:b/>
          <w:sz w:val="24"/>
          <w:szCs w:val="24"/>
        </w:rPr>
      </w:pPr>
    </w:p>
    <w:p w14:paraId="68ADFBF2" w14:textId="77777777" w:rsidR="007865BD" w:rsidRPr="00743F49" w:rsidRDefault="007865BD" w:rsidP="00743F49">
      <w:pPr>
        <w:pStyle w:val="ListParagraph"/>
        <w:spacing w:before="240" w:after="120" w:line="240" w:lineRule="auto"/>
        <w:ind w:left="567"/>
        <w:rPr>
          <w:rFonts w:ascii="Arial" w:hAnsi="Arial" w:cs="Arial"/>
          <w:b/>
          <w:sz w:val="24"/>
          <w:szCs w:val="24"/>
        </w:rPr>
      </w:pPr>
      <w:r w:rsidRPr="00132640">
        <w:rPr>
          <w:rFonts w:ascii="Arial" w:hAnsi="Arial" w:cs="Arial"/>
          <w:b/>
          <w:sz w:val="24"/>
          <w:szCs w:val="24"/>
        </w:rPr>
        <w:t>Directorate for Children and Young People (CYP)</w:t>
      </w:r>
    </w:p>
    <w:p w14:paraId="75A76CBF" w14:textId="77777777" w:rsidR="007865BD" w:rsidRPr="00132640" w:rsidRDefault="007865BD" w:rsidP="007865BD">
      <w:pPr>
        <w:pStyle w:val="ListParagraph"/>
        <w:spacing w:before="120" w:after="120" w:line="240" w:lineRule="auto"/>
        <w:ind w:left="567"/>
        <w:rPr>
          <w:rFonts w:ascii="Arial" w:hAnsi="Arial" w:cs="Arial"/>
          <w:b/>
          <w:i/>
          <w:sz w:val="24"/>
          <w:szCs w:val="24"/>
        </w:rPr>
      </w:pPr>
      <w:r w:rsidRPr="00132640">
        <w:rPr>
          <w:rFonts w:ascii="Arial" w:hAnsi="Arial" w:cs="Arial"/>
          <w:b/>
          <w:i/>
          <w:sz w:val="24"/>
          <w:szCs w:val="24"/>
        </w:rPr>
        <w:t xml:space="preserve">Due </w:t>
      </w:r>
      <w:r w:rsidR="00743F49">
        <w:rPr>
          <w:rFonts w:ascii="Arial" w:hAnsi="Arial" w:cs="Arial"/>
          <w:b/>
          <w:i/>
          <w:sz w:val="24"/>
          <w:szCs w:val="24"/>
        </w:rPr>
        <w:t>diligence over the transfer of</w:t>
      </w:r>
      <w:r w:rsidRPr="00132640">
        <w:rPr>
          <w:rFonts w:ascii="Arial" w:hAnsi="Arial" w:cs="Arial"/>
          <w:b/>
          <w:i/>
          <w:sz w:val="24"/>
          <w:szCs w:val="24"/>
        </w:rPr>
        <w:t xml:space="preserve"> children's centre</w:t>
      </w:r>
      <w:r w:rsidR="00743F49">
        <w:rPr>
          <w:rFonts w:ascii="Arial" w:hAnsi="Arial" w:cs="Arial"/>
          <w:b/>
          <w:i/>
          <w:sz w:val="24"/>
          <w:szCs w:val="24"/>
        </w:rPr>
        <w:t xml:space="preserve">s from the NHS: </w:t>
      </w:r>
      <w:r w:rsidR="00743F49" w:rsidRPr="00982197">
        <w:rPr>
          <w:rFonts w:ascii="Arial" w:hAnsi="Arial" w:cs="Arial"/>
          <w:i/>
          <w:sz w:val="24"/>
          <w:szCs w:val="24"/>
        </w:rPr>
        <w:t>substantial assurance</w:t>
      </w:r>
    </w:p>
    <w:p w14:paraId="3303C290" w14:textId="4F1448FD" w:rsidR="00743F49" w:rsidRPr="00743F49" w:rsidRDefault="00743F49" w:rsidP="00743F49">
      <w:pPr>
        <w:pStyle w:val="ListParagraph"/>
        <w:numPr>
          <w:ilvl w:val="1"/>
          <w:numId w:val="24"/>
        </w:numPr>
        <w:tabs>
          <w:tab w:val="clear" w:pos="851"/>
        </w:tabs>
        <w:spacing w:before="120" w:after="120" w:line="240" w:lineRule="auto"/>
        <w:ind w:left="567" w:hanging="567"/>
        <w:rPr>
          <w:rFonts w:ascii="Arial" w:hAnsi="Arial" w:cs="Arial"/>
          <w:sz w:val="24"/>
          <w:szCs w:val="24"/>
        </w:rPr>
      </w:pPr>
      <w:r w:rsidRPr="00743F49">
        <w:rPr>
          <w:rFonts w:ascii="Arial" w:hAnsi="Arial" w:cs="Arial"/>
          <w:sz w:val="24"/>
          <w:szCs w:val="24"/>
        </w:rPr>
        <w:t>This review was carried out at the request of the Head of Quality and Continuous Improvement to provide assurance over the use of funding prior to the transfer in October 2014</w:t>
      </w:r>
      <w:r w:rsidR="00BD4F58">
        <w:rPr>
          <w:rFonts w:ascii="Arial" w:hAnsi="Arial" w:cs="Arial"/>
          <w:sz w:val="24"/>
          <w:szCs w:val="24"/>
        </w:rPr>
        <w:t xml:space="preserve"> </w:t>
      </w:r>
      <w:r w:rsidRPr="00743F49">
        <w:rPr>
          <w:rFonts w:ascii="Arial" w:hAnsi="Arial" w:cs="Arial"/>
          <w:sz w:val="24"/>
          <w:szCs w:val="24"/>
        </w:rPr>
        <w:t xml:space="preserve">of management responsibility for the centres from </w:t>
      </w:r>
      <w:r w:rsidRPr="00743F49">
        <w:rPr>
          <w:rFonts w:ascii="Arial" w:hAnsi="Arial" w:cs="Arial"/>
          <w:sz w:val="24"/>
          <w:szCs w:val="24"/>
        </w:rPr>
        <w:lastRenderedPageBreak/>
        <w:t xml:space="preserve">Lancashire Care NHS Foundation Trust to the council's Quality </w:t>
      </w:r>
      <w:r w:rsidR="00BD4F58">
        <w:rPr>
          <w:rFonts w:ascii="Arial" w:hAnsi="Arial" w:cs="Arial"/>
          <w:sz w:val="24"/>
          <w:szCs w:val="24"/>
        </w:rPr>
        <w:t>and</w:t>
      </w:r>
      <w:r w:rsidRPr="00743F49">
        <w:rPr>
          <w:rFonts w:ascii="Arial" w:hAnsi="Arial" w:cs="Arial"/>
          <w:sz w:val="24"/>
          <w:szCs w:val="24"/>
        </w:rPr>
        <w:t xml:space="preserve"> C</w:t>
      </w:r>
      <w:r w:rsidR="00BD4F58">
        <w:rPr>
          <w:rFonts w:ascii="Arial" w:hAnsi="Arial" w:cs="Arial"/>
          <w:sz w:val="24"/>
          <w:szCs w:val="24"/>
        </w:rPr>
        <w:t>ontinuous Improvement Service</w:t>
      </w:r>
      <w:r w:rsidR="00A43AFE">
        <w:rPr>
          <w:rFonts w:ascii="Arial" w:hAnsi="Arial" w:cs="Arial"/>
          <w:sz w:val="24"/>
          <w:szCs w:val="24"/>
        </w:rPr>
        <w:t>.</w:t>
      </w:r>
    </w:p>
    <w:p w14:paraId="324BECCC" w14:textId="77777777" w:rsidR="007865BD" w:rsidRPr="00743F49" w:rsidRDefault="00743F49" w:rsidP="00743F49">
      <w:pPr>
        <w:pStyle w:val="ListParagraph"/>
        <w:numPr>
          <w:ilvl w:val="1"/>
          <w:numId w:val="24"/>
        </w:numPr>
        <w:tabs>
          <w:tab w:val="clear" w:pos="851"/>
        </w:tabs>
        <w:spacing w:before="120" w:after="120" w:line="240" w:lineRule="auto"/>
        <w:ind w:left="567" w:hanging="567"/>
        <w:rPr>
          <w:rFonts w:ascii="Arial" w:hAnsi="Arial" w:cs="Arial"/>
          <w:sz w:val="24"/>
          <w:szCs w:val="24"/>
        </w:rPr>
      </w:pPr>
      <w:r w:rsidRPr="00743F49">
        <w:rPr>
          <w:rFonts w:ascii="Arial" w:hAnsi="Arial" w:cs="Arial"/>
          <w:sz w:val="24"/>
          <w:szCs w:val="24"/>
        </w:rPr>
        <w:t>We have provided substantial assurance that the funding has been spent to support valid, eligible activities that meet the core offer of children's centre services. In addition, testing of the expenditure and income did not suggest that there had been any accrued surplus funds or that funding had been used to support non-core activities.</w:t>
      </w:r>
    </w:p>
    <w:p w14:paraId="25C829D3" w14:textId="77777777" w:rsidR="007865BD" w:rsidRPr="00132640" w:rsidRDefault="007865BD" w:rsidP="007865BD">
      <w:pPr>
        <w:pStyle w:val="ListParagraph"/>
        <w:spacing w:before="120" w:after="120" w:line="240" w:lineRule="auto"/>
        <w:ind w:left="567"/>
        <w:rPr>
          <w:rFonts w:ascii="Arial" w:hAnsi="Arial" w:cs="Arial"/>
          <w:b/>
          <w:i/>
          <w:sz w:val="24"/>
          <w:szCs w:val="24"/>
        </w:rPr>
      </w:pPr>
      <w:r w:rsidRPr="00132640">
        <w:rPr>
          <w:rFonts w:ascii="Arial" w:hAnsi="Arial" w:cs="Arial"/>
          <w:b/>
          <w:i/>
          <w:sz w:val="24"/>
          <w:szCs w:val="24"/>
        </w:rPr>
        <w:t>Residential homes – follow-up of agreed action plan</w:t>
      </w:r>
    </w:p>
    <w:p w14:paraId="0AF943B8" w14:textId="77777777" w:rsidR="001E7A81" w:rsidRPr="001E7A81" w:rsidRDefault="007865BD" w:rsidP="001E7A81">
      <w:pPr>
        <w:pStyle w:val="ListParagraph"/>
        <w:numPr>
          <w:ilvl w:val="1"/>
          <w:numId w:val="24"/>
        </w:numPr>
        <w:tabs>
          <w:tab w:val="clear" w:pos="851"/>
        </w:tabs>
        <w:spacing w:before="120" w:after="120" w:line="240" w:lineRule="auto"/>
        <w:ind w:left="567" w:hanging="567"/>
        <w:rPr>
          <w:rFonts w:ascii="Arial" w:hAnsi="Arial" w:cs="Arial"/>
          <w:sz w:val="24"/>
          <w:szCs w:val="24"/>
        </w:rPr>
      </w:pPr>
      <w:r w:rsidRPr="001E7A81">
        <w:rPr>
          <w:rFonts w:ascii="Arial" w:hAnsi="Arial" w:cs="Arial"/>
          <w:sz w:val="24"/>
          <w:szCs w:val="24"/>
        </w:rPr>
        <w:t>Further assurance is not applicable, as substantial assurance has already been given over this area.</w:t>
      </w:r>
      <w:r w:rsidR="001E7A81" w:rsidRPr="001E7A81">
        <w:rPr>
          <w:rFonts w:ascii="Arial" w:hAnsi="Arial" w:cs="Arial"/>
          <w:sz w:val="24"/>
          <w:szCs w:val="24"/>
        </w:rPr>
        <w:t xml:space="preserve"> However we have undertaken work to determine the progress made implementing the actions agreed in January 2013.</w:t>
      </w:r>
    </w:p>
    <w:p w14:paraId="17A7A8F0" w14:textId="77777777" w:rsidR="007865BD" w:rsidRPr="001E7A81" w:rsidRDefault="007865BD" w:rsidP="007865BD">
      <w:pPr>
        <w:pStyle w:val="ListParagraph"/>
        <w:numPr>
          <w:ilvl w:val="1"/>
          <w:numId w:val="24"/>
        </w:numPr>
        <w:tabs>
          <w:tab w:val="clear" w:pos="851"/>
        </w:tabs>
        <w:spacing w:before="120" w:after="120" w:line="240" w:lineRule="auto"/>
        <w:ind w:left="567" w:hanging="567"/>
        <w:rPr>
          <w:rFonts w:ascii="Arial" w:hAnsi="Arial" w:cs="Arial"/>
          <w:sz w:val="24"/>
          <w:szCs w:val="24"/>
        </w:rPr>
      </w:pPr>
      <w:r w:rsidRPr="001E7A81">
        <w:rPr>
          <w:rFonts w:ascii="Arial" w:hAnsi="Arial" w:cs="Arial"/>
          <w:sz w:val="24"/>
          <w:szCs w:val="24"/>
        </w:rPr>
        <w:t xml:space="preserve">Some actions have been taken as intended, and others are reliant on wider control improvements, in particular revised social care supervision arrangements, and </w:t>
      </w:r>
      <w:r w:rsidR="001E7A81">
        <w:rPr>
          <w:rFonts w:ascii="Arial" w:hAnsi="Arial" w:cs="Arial"/>
          <w:sz w:val="24"/>
          <w:szCs w:val="24"/>
        </w:rPr>
        <w:t xml:space="preserve">the development of </w:t>
      </w:r>
      <w:r w:rsidRPr="001E7A81">
        <w:rPr>
          <w:rFonts w:ascii="Arial" w:hAnsi="Arial" w:cs="Arial"/>
          <w:sz w:val="24"/>
          <w:szCs w:val="24"/>
        </w:rPr>
        <w:t>revised financial procedures for these establishments.</w:t>
      </w:r>
    </w:p>
    <w:p w14:paraId="1608B06B" w14:textId="77777777" w:rsidR="007865BD" w:rsidRPr="00743F49" w:rsidRDefault="007865BD" w:rsidP="00743F49">
      <w:pPr>
        <w:pStyle w:val="ListParagraph"/>
        <w:spacing w:before="240" w:after="120" w:line="240" w:lineRule="auto"/>
        <w:ind w:left="567"/>
        <w:rPr>
          <w:rFonts w:ascii="Arial" w:hAnsi="Arial" w:cs="Arial"/>
          <w:b/>
          <w:sz w:val="24"/>
          <w:szCs w:val="24"/>
        </w:rPr>
      </w:pPr>
      <w:r w:rsidRPr="00132640">
        <w:rPr>
          <w:rFonts w:ascii="Arial" w:hAnsi="Arial" w:cs="Arial"/>
          <w:b/>
          <w:sz w:val="24"/>
          <w:szCs w:val="24"/>
        </w:rPr>
        <w:t>Schools and colleges</w:t>
      </w:r>
    </w:p>
    <w:p w14:paraId="6664B94F" w14:textId="77777777" w:rsidR="00132640" w:rsidRPr="00132640" w:rsidRDefault="00132640" w:rsidP="00132640">
      <w:pPr>
        <w:spacing w:before="120" w:after="120" w:line="240" w:lineRule="auto"/>
        <w:ind w:left="567"/>
        <w:rPr>
          <w:rFonts w:ascii="Arial" w:hAnsi="Arial" w:cs="Arial"/>
          <w:b/>
          <w:i/>
          <w:sz w:val="24"/>
          <w:szCs w:val="24"/>
        </w:rPr>
      </w:pPr>
      <w:r w:rsidRPr="00132640">
        <w:rPr>
          <w:rFonts w:ascii="Arial" w:hAnsi="Arial" w:cs="Arial"/>
          <w:b/>
          <w:i/>
          <w:sz w:val="24"/>
          <w:szCs w:val="24"/>
        </w:rPr>
        <w:t>School audit visits</w:t>
      </w:r>
    </w:p>
    <w:p w14:paraId="4125EDA1" w14:textId="77777777" w:rsidR="00132640" w:rsidRPr="00F92F61" w:rsidRDefault="00132640" w:rsidP="00132640">
      <w:pPr>
        <w:pStyle w:val="ListParagraph"/>
        <w:numPr>
          <w:ilvl w:val="1"/>
          <w:numId w:val="24"/>
        </w:numPr>
        <w:tabs>
          <w:tab w:val="clear" w:pos="851"/>
        </w:tabs>
        <w:spacing w:before="120" w:after="120" w:line="240" w:lineRule="auto"/>
        <w:ind w:left="567" w:hanging="567"/>
        <w:rPr>
          <w:rFonts w:ascii="Arial" w:hAnsi="Arial" w:cs="Arial"/>
          <w:sz w:val="24"/>
          <w:szCs w:val="24"/>
        </w:rPr>
      </w:pPr>
      <w:r w:rsidRPr="00F92F61">
        <w:rPr>
          <w:rFonts w:ascii="Arial" w:hAnsi="Arial" w:cs="Arial"/>
          <w:sz w:val="24"/>
          <w:szCs w:val="24"/>
        </w:rPr>
        <w:t xml:space="preserve">During the year to date we have completed audits of the county's schools with </w:t>
      </w:r>
      <w:r>
        <w:rPr>
          <w:rFonts w:ascii="Arial" w:hAnsi="Arial" w:cs="Arial"/>
          <w:sz w:val="24"/>
          <w:szCs w:val="24"/>
        </w:rPr>
        <w:t xml:space="preserve">the </w:t>
      </w:r>
      <w:r w:rsidR="00D2308A">
        <w:rPr>
          <w:rFonts w:ascii="Arial" w:hAnsi="Arial" w:cs="Arial"/>
          <w:sz w:val="24"/>
          <w:szCs w:val="24"/>
        </w:rPr>
        <w:t>results as follows:</w:t>
      </w: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322"/>
        <w:gridCol w:w="946"/>
        <w:gridCol w:w="1418"/>
        <w:gridCol w:w="992"/>
        <w:gridCol w:w="875"/>
      </w:tblGrid>
      <w:tr w:rsidR="00132640" w:rsidRPr="0080461D" w14:paraId="41BA1637" w14:textId="77777777" w:rsidTr="00014F1B">
        <w:trPr>
          <w:cantSplit/>
          <w:trHeight w:val="192"/>
          <w:tblHeader/>
          <w:jc w:val="center"/>
        </w:trPr>
        <w:tc>
          <w:tcPr>
            <w:tcW w:w="1867" w:type="dxa"/>
            <w:vMerge w:val="restart"/>
          </w:tcPr>
          <w:p w14:paraId="671A22D6" w14:textId="77777777" w:rsidR="00132640" w:rsidRPr="0080461D" w:rsidRDefault="00132640" w:rsidP="0080461D">
            <w:pPr>
              <w:spacing w:before="20" w:after="20" w:line="240" w:lineRule="auto"/>
              <w:rPr>
                <w:rFonts w:ascii="Arial" w:hAnsi="Arial" w:cs="Arial"/>
                <w:sz w:val="22"/>
                <w:szCs w:val="22"/>
              </w:rPr>
            </w:pPr>
            <w:r w:rsidRPr="0080461D">
              <w:rPr>
                <w:rFonts w:ascii="Arial" w:hAnsi="Arial" w:cs="Arial"/>
                <w:sz w:val="22"/>
                <w:szCs w:val="22"/>
              </w:rPr>
              <w:t>School type</w:t>
            </w:r>
          </w:p>
        </w:tc>
        <w:tc>
          <w:tcPr>
            <w:tcW w:w="1322" w:type="dxa"/>
            <w:vMerge w:val="restart"/>
          </w:tcPr>
          <w:p w14:paraId="70B7546A"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Number of audits</w:t>
            </w:r>
          </w:p>
        </w:tc>
        <w:tc>
          <w:tcPr>
            <w:tcW w:w="4231" w:type="dxa"/>
            <w:gridSpan w:val="4"/>
            <w:tcBorders>
              <w:bottom w:val="nil"/>
            </w:tcBorders>
          </w:tcPr>
          <w:p w14:paraId="442E5D32"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Level of assurance</w:t>
            </w:r>
          </w:p>
        </w:tc>
      </w:tr>
      <w:tr w:rsidR="00132640" w:rsidRPr="0080461D" w14:paraId="0D595674" w14:textId="77777777" w:rsidTr="00014F1B">
        <w:trPr>
          <w:cantSplit/>
          <w:trHeight w:val="70"/>
          <w:tblHeader/>
          <w:jc w:val="center"/>
        </w:trPr>
        <w:tc>
          <w:tcPr>
            <w:tcW w:w="1867" w:type="dxa"/>
            <w:vMerge/>
            <w:tcBorders>
              <w:bottom w:val="single" w:sz="4" w:space="0" w:color="auto"/>
            </w:tcBorders>
          </w:tcPr>
          <w:p w14:paraId="1AF307A9" w14:textId="77777777" w:rsidR="00132640" w:rsidRPr="0080461D" w:rsidRDefault="00132640" w:rsidP="0080461D">
            <w:pPr>
              <w:spacing w:before="20" w:after="20" w:line="240" w:lineRule="auto"/>
              <w:rPr>
                <w:rFonts w:ascii="Arial" w:hAnsi="Arial" w:cs="Arial"/>
                <w:sz w:val="22"/>
                <w:szCs w:val="22"/>
              </w:rPr>
            </w:pPr>
          </w:p>
        </w:tc>
        <w:tc>
          <w:tcPr>
            <w:tcW w:w="1322" w:type="dxa"/>
            <w:vMerge/>
            <w:tcBorders>
              <w:bottom w:val="single" w:sz="4" w:space="0" w:color="auto"/>
            </w:tcBorders>
          </w:tcPr>
          <w:p w14:paraId="7879A366" w14:textId="77777777" w:rsidR="00132640" w:rsidRPr="0080461D" w:rsidRDefault="00132640" w:rsidP="0080461D">
            <w:pPr>
              <w:spacing w:before="20" w:after="20" w:line="240" w:lineRule="auto"/>
              <w:jc w:val="center"/>
              <w:rPr>
                <w:rFonts w:ascii="Arial" w:hAnsi="Arial" w:cs="Arial"/>
                <w:sz w:val="22"/>
                <w:szCs w:val="22"/>
              </w:rPr>
            </w:pPr>
          </w:p>
        </w:tc>
        <w:tc>
          <w:tcPr>
            <w:tcW w:w="946" w:type="dxa"/>
            <w:tcBorders>
              <w:top w:val="nil"/>
              <w:bottom w:val="single" w:sz="4" w:space="0" w:color="auto"/>
              <w:right w:val="nil"/>
            </w:tcBorders>
          </w:tcPr>
          <w:p w14:paraId="6D7E8B6B"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Full</w:t>
            </w:r>
          </w:p>
        </w:tc>
        <w:tc>
          <w:tcPr>
            <w:tcW w:w="1418" w:type="dxa"/>
            <w:tcBorders>
              <w:top w:val="nil"/>
              <w:left w:val="nil"/>
              <w:bottom w:val="single" w:sz="4" w:space="0" w:color="auto"/>
              <w:right w:val="nil"/>
            </w:tcBorders>
          </w:tcPr>
          <w:p w14:paraId="2AB78261"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Substantial</w:t>
            </w:r>
          </w:p>
        </w:tc>
        <w:tc>
          <w:tcPr>
            <w:tcW w:w="992" w:type="dxa"/>
            <w:tcBorders>
              <w:top w:val="nil"/>
              <w:left w:val="nil"/>
              <w:bottom w:val="single" w:sz="4" w:space="0" w:color="auto"/>
              <w:right w:val="nil"/>
            </w:tcBorders>
          </w:tcPr>
          <w:p w14:paraId="5D119C7A"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Limited</w:t>
            </w:r>
          </w:p>
        </w:tc>
        <w:tc>
          <w:tcPr>
            <w:tcW w:w="875" w:type="dxa"/>
            <w:tcBorders>
              <w:top w:val="nil"/>
              <w:left w:val="nil"/>
              <w:bottom w:val="single" w:sz="4" w:space="0" w:color="auto"/>
            </w:tcBorders>
          </w:tcPr>
          <w:p w14:paraId="07ACDAFA"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None</w:t>
            </w:r>
          </w:p>
        </w:tc>
      </w:tr>
      <w:tr w:rsidR="00132640" w:rsidRPr="0080461D" w14:paraId="78F983A3" w14:textId="77777777" w:rsidTr="00014F1B">
        <w:trPr>
          <w:cantSplit/>
          <w:trHeight w:val="70"/>
          <w:tblHeader/>
          <w:jc w:val="center"/>
        </w:trPr>
        <w:tc>
          <w:tcPr>
            <w:tcW w:w="1867" w:type="dxa"/>
            <w:tcBorders>
              <w:top w:val="single" w:sz="4" w:space="0" w:color="auto"/>
              <w:bottom w:val="single" w:sz="4" w:space="0" w:color="auto"/>
            </w:tcBorders>
          </w:tcPr>
          <w:p w14:paraId="37566B5F" w14:textId="77777777" w:rsidR="00132640" w:rsidRPr="0080461D" w:rsidRDefault="00132640" w:rsidP="0080461D">
            <w:pPr>
              <w:spacing w:before="20" w:after="20" w:line="240" w:lineRule="auto"/>
              <w:rPr>
                <w:rFonts w:ascii="Arial" w:hAnsi="Arial" w:cs="Arial"/>
                <w:sz w:val="22"/>
                <w:szCs w:val="22"/>
              </w:rPr>
            </w:pPr>
            <w:r w:rsidRPr="0080461D">
              <w:rPr>
                <w:rFonts w:ascii="Arial" w:hAnsi="Arial" w:cs="Arial"/>
                <w:sz w:val="22"/>
                <w:szCs w:val="22"/>
              </w:rPr>
              <w:t>High school</w:t>
            </w:r>
          </w:p>
        </w:tc>
        <w:tc>
          <w:tcPr>
            <w:tcW w:w="1322" w:type="dxa"/>
            <w:tcBorders>
              <w:top w:val="single" w:sz="4" w:space="0" w:color="auto"/>
            </w:tcBorders>
          </w:tcPr>
          <w:p w14:paraId="0961DD14"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8</w:t>
            </w:r>
          </w:p>
        </w:tc>
        <w:tc>
          <w:tcPr>
            <w:tcW w:w="946" w:type="dxa"/>
            <w:tcBorders>
              <w:top w:val="single" w:sz="4" w:space="0" w:color="auto"/>
            </w:tcBorders>
          </w:tcPr>
          <w:p w14:paraId="0A6AF946" w14:textId="77777777" w:rsidR="00132640" w:rsidRPr="0080461D" w:rsidRDefault="00132640" w:rsidP="0080461D">
            <w:pPr>
              <w:spacing w:before="20" w:after="20" w:line="240" w:lineRule="auto"/>
              <w:jc w:val="center"/>
              <w:rPr>
                <w:rFonts w:ascii="Arial" w:hAnsi="Arial" w:cs="Arial"/>
                <w:sz w:val="22"/>
                <w:szCs w:val="22"/>
              </w:rPr>
            </w:pPr>
          </w:p>
        </w:tc>
        <w:tc>
          <w:tcPr>
            <w:tcW w:w="1418" w:type="dxa"/>
            <w:tcBorders>
              <w:top w:val="nil"/>
              <w:bottom w:val="single" w:sz="4" w:space="0" w:color="auto"/>
            </w:tcBorders>
          </w:tcPr>
          <w:p w14:paraId="44E99DF7"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6</w:t>
            </w:r>
          </w:p>
        </w:tc>
        <w:tc>
          <w:tcPr>
            <w:tcW w:w="992" w:type="dxa"/>
            <w:tcBorders>
              <w:top w:val="single" w:sz="4" w:space="0" w:color="auto"/>
            </w:tcBorders>
          </w:tcPr>
          <w:p w14:paraId="515DD4A9"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2</w:t>
            </w:r>
          </w:p>
        </w:tc>
        <w:tc>
          <w:tcPr>
            <w:tcW w:w="875" w:type="dxa"/>
            <w:tcBorders>
              <w:top w:val="single" w:sz="4" w:space="0" w:color="auto"/>
              <w:bottom w:val="single" w:sz="4" w:space="0" w:color="auto"/>
            </w:tcBorders>
          </w:tcPr>
          <w:p w14:paraId="17B43F9F" w14:textId="77777777" w:rsidR="00132640" w:rsidRPr="0080461D" w:rsidRDefault="00132640" w:rsidP="0080461D">
            <w:pPr>
              <w:spacing w:before="20" w:after="20" w:line="240" w:lineRule="auto"/>
              <w:jc w:val="center"/>
              <w:rPr>
                <w:rFonts w:ascii="Arial" w:hAnsi="Arial" w:cs="Arial"/>
                <w:sz w:val="22"/>
                <w:szCs w:val="22"/>
              </w:rPr>
            </w:pPr>
          </w:p>
        </w:tc>
      </w:tr>
      <w:tr w:rsidR="00132640" w:rsidRPr="0080461D" w14:paraId="4FD6F73F" w14:textId="77777777" w:rsidTr="00014F1B">
        <w:trPr>
          <w:cantSplit/>
          <w:trHeight w:val="70"/>
          <w:tblHeader/>
          <w:jc w:val="center"/>
        </w:trPr>
        <w:tc>
          <w:tcPr>
            <w:tcW w:w="1867" w:type="dxa"/>
            <w:tcBorders>
              <w:top w:val="single" w:sz="4" w:space="0" w:color="auto"/>
              <w:bottom w:val="single" w:sz="4" w:space="0" w:color="auto"/>
            </w:tcBorders>
          </w:tcPr>
          <w:p w14:paraId="173BEBFE" w14:textId="77777777" w:rsidR="00132640" w:rsidRPr="0080461D" w:rsidRDefault="00132640" w:rsidP="0080461D">
            <w:pPr>
              <w:spacing w:before="20" w:after="20" w:line="240" w:lineRule="auto"/>
              <w:rPr>
                <w:rFonts w:ascii="Arial" w:hAnsi="Arial" w:cs="Arial"/>
                <w:sz w:val="22"/>
                <w:szCs w:val="22"/>
              </w:rPr>
            </w:pPr>
            <w:r w:rsidRPr="0080461D">
              <w:rPr>
                <w:rFonts w:ascii="Arial" w:hAnsi="Arial" w:cs="Arial"/>
                <w:sz w:val="22"/>
                <w:szCs w:val="22"/>
              </w:rPr>
              <w:t>Primary school</w:t>
            </w:r>
          </w:p>
        </w:tc>
        <w:tc>
          <w:tcPr>
            <w:tcW w:w="1322" w:type="dxa"/>
          </w:tcPr>
          <w:p w14:paraId="70D938C7"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6</w:t>
            </w:r>
          </w:p>
        </w:tc>
        <w:tc>
          <w:tcPr>
            <w:tcW w:w="946" w:type="dxa"/>
          </w:tcPr>
          <w:p w14:paraId="58640B66" w14:textId="77777777" w:rsidR="00132640" w:rsidRPr="0080461D" w:rsidRDefault="00132640" w:rsidP="0080461D">
            <w:pPr>
              <w:spacing w:before="20" w:after="20" w:line="240" w:lineRule="auto"/>
              <w:jc w:val="center"/>
              <w:rPr>
                <w:rFonts w:ascii="Arial" w:hAnsi="Arial" w:cs="Arial"/>
                <w:sz w:val="22"/>
                <w:szCs w:val="22"/>
              </w:rPr>
            </w:pPr>
          </w:p>
        </w:tc>
        <w:tc>
          <w:tcPr>
            <w:tcW w:w="1418" w:type="dxa"/>
            <w:tcBorders>
              <w:top w:val="single" w:sz="4" w:space="0" w:color="auto"/>
              <w:bottom w:val="single" w:sz="4" w:space="0" w:color="auto"/>
            </w:tcBorders>
          </w:tcPr>
          <w:p w14:paraId="1116317B" w14:textId="77777777" w:rsidR="00132640" w:rsidRPr="0080461D" w:rsidRDefault="00132640" w:rsidP="0080461D">
            <w:pPr>
              <w:spacing w:before="20" w:after="20" w:line="240" w:lineRule="auto"/>
              <w:jc w:val="center"/>
              <w:rPr>
                <w:rFonts w:ascii="Arial" w:hAnsi="Arial" w:cs="Arial"/>
                <w:sz w:val="22"/>
                <w:szCs w:val="22"/>
              </w:rPr>
            </w:pPr>
            <w:r w:rsidRPr="0080461D">
              <w:rPr>
                <w:rFonts w:ascii="Arial" w:hAnsi="Arial" w:cs="Arial"/>
                <w:sz w:val="22"/>
                <w:szCs w:val="22"/>
              </w:rPr>
              <w:t>6</w:t>
            </w:r>
          </w:p>
        </w:tc>
        <w:tc>
          <w:tcPr>
            <w:tcW w:w="992" w:type="dxa"/>
          </w:tcPr>
          <w:p w14:paraId="1B7504F7" w14:textId="77777777" w:rsidR="00132640" w:rsidRPr="0080461D" w:rsidRDefault="00132640" w:rsidP="0080461D">
            <w:pPr>
              <w:spacing w:before="20" w:after="20" w:line="240" w:lineRule="auto"/>
              <w:jc w:val="center"/>
              <w:rPr>
                <w:rFonts w:ascii="Arial" w:hAnsi="Arial" w:cs="Arial"/>
                <w:sz w:val="22"/>
                <w:szCs w:val="22"/>
              </w:rPr>
            </w:pPr>
          </w:p>
        </w:tc>
        <w:tc>
          <w:tcPr>
            <w:tcW w:w="875" w:type="dxa"/>
            <w:tcBorders>
              <w:top w:val="single" w:sz="4" w:space="0" w:color="auto"/>
              <w:bottom w:val="single" w:sz="4" w:space="0" w:color="auto"/>
            </w:tcBorders>
          </w:tcPr>
          <w:p w14:paraId="734C43EE" w14:textId="77777777" w:rsidR="00132640" w:rsidRPr="0080461D" w:rsidRDefault="00132640" w:rsidP="0080461D">
            <w:pPr>
              <w:spacing w:before="20" w:after="20" w:line="240" w:lineRule="auto"/>
              <w:jc w:val="center"/>
              <w:rPr>
                <w:rFonts w:ascii="Arial" w:hAnsi="Arial" w:cs="Arial"/>
                <w:sz w:val="22"/>
                <w:szCs w:val="22"/>
              </w:rPr>
            </w:pPr>
          </w:p>
        </w:tc>
      </w:tr>
      <w:tr w:rsidR="00132640" w:rsidRPr="0080461D" w14:paraId="7F269C21" w14:textId="77777777" w:rsidTr="00014F1B">
        <w:trPr>
          <w:cantSplit/>
          <w:trHeight w:val="70"/>
          <w:tblHeader/>
          <w:jc w:val="center"/>
        </w:trPr>
        <w:tc>
          <w:tcPr>
            <w:tcW w:w="1867" w:type="dxa"/>
            <w:tcBorders>
              <w:top w:val="single" w:sz="4" w:space="0" w:color="auto"/>
              <w:bottom w:val="single" w:sz="4" w:space="0" w:color="auto"/>
            </w:tcBorders>
          </w:tcPr>
          <w:p w14:paraId="04D81A69" w14:textId="77777777" w:rsidR="00132640" w:rsidRPr="0080461D" w:rsidRDefault="00132640" w:rsidP="0080461D">
            <w:pPr>
              <w:spacing w:before="20" w:after="20" w:line="240" w:lineRule="auto"/>
              <w:rPr>
                <w:rFonts w:ascii="Arial" w:hAnsi="Arial" w:cs="Arial"/>
                <w:b/>
                <w:sz w:val="22"/>
                <w:szCs w:val="22"/>
              </w:rPr>
            </w:pPr>
            <w:r w:rsidRPr="0080461D">
              <w:rPr>
                <w:rFonts w:ascii="Arial" w:hAnsi="Arial" w:cs="Arial"/>
                <w:b/>
                <w:sz w:val="22"/>
                <w:szCs w:val="22"/>
              </w:rPr>
              <w:t>Total</w:t>
            </w:r>
          </w:p>
        </w:tc>
        <w:tc>
          <w:tcPr>
            <w:tcW w:w="1322" w:type="dxa"/>
            <w:tcBorders>
              <w:bottom w:val="single" w:sz="4" w:space="0" w:color="auto"/>
            </w:tcBorders>
          </w:tcPr>
          <w:p w14:paraId="7179DE8C" w14:textId="77777777" w:rsidR="00132640" w:rsidRPr="0080461D" w:rsidRDefault="00132640" w:rsidP="0080461D">
            <w:pPr>
              <w:spacing w:before="20" w:after="20" w:line="240" w:lineRule="auto"/>
              <w:jc w:val="center"/>
              <w:rPr>
                <w:rFonts w:ascii="Arial" w:hAnsi="Arial" w:cs="Arial"/>
                <w:b/>
                <w:sz w:val="22"/>
                <w:szCs w:val="22"/>
              </w:rPr>
            </w:pPr>
            <w:r w:rsidRPr="0080461D">
              <w:rPr>
                <w:rFonts w:ascii="Arial" w:hAnsi="Arial" w:cs="Arial"/>
                <w:b/>
                <w:sz w:val="22"/>
                <w:szCs w:val="22"/>
              </w:rPr>
              <w:t>14</w:t>
            </w:r>
          </w:p>
        </w:tc>
        <w:tc>
          <w:tcPr>
            <w:tcW w:w="946" w:type="dxa"/>
            <w:tcBorders>
              <w:bottom w:val="single" w:sz="4" w:space="0" w:color="auto"/>
            </w:tcBorders>
          </w:tcPr>
          <w:p w14:paraId="6B5B87BC" w14:textId="77777777" w:rsidR="00132640" w:rsidRPr="0080461D" w:rsidRDefault="00132640" w:rsidP="0080461D">
            <w:pPr>
              <w:spacing w:before="20" w:after="20" w:line="240" w:lineRule="auto"/>
              <w:jc w:val="center"/>
              <w:rPr>
                <w:rFonts w:ascii="Arial" w:hAnsi="Arial" w:cs="Arial"/>
                <w:b/>
                <w:sz w:val="22"/>
                <w:szCs w:val="22"/>
              </w:rPr>
            </w:pPr>
          </w:p>
        </w:tc>
        <w:tc>
          <w:tcPr>
            <w:tcW w:w="1418" w:type="dxa"/>
            <w:tcBorders>
              <w:top w:val="single" w:sz="4" w:space="0" w:color="auto"/>
              <w:bottom w:val="single" w:sz="4" w:space="0" w:color="auto"/>
            </w:tcBorders>
          </w:tcPr>
          <w:p w14:paraId="31732046" w14:textId="77777777" w:rsidR="00132640" w:rsidRPr="0080461D" w:rsidRDefault="00132640" w:rsidP="0080461D">
            <w:pPr>
              <w:spacing w:before="20" w:after="20" w:line="240" w:lineRule="auto"/>
              <w:jc w:val="center"/>
              <w:rPr>
                <w:rFonts w:ascii="Arial" w:hAnsi="Arial" w:cs="Arial"/>
                <w:b/>
                <w:sz w:val="22"/>
                <w:szCs w:val="22"/>
              </w:rPr>
            </w:pPr>
            <w:r w:rsidRPr="0080461D">
              <w:rPr>
                <w:rFonts w:ascii="Arial" w:hAnsi="Arial" w:cs="Arial"/>
                <w:b/>
                <w:sz w:val="22"/>
                <w:szCs w:val="22"/>
              </w:rPr>
              <w:t>12</w:t>
            </w:r>
          </w:p>
        </w:tc>
        <w:tc>
          <w:tcPr>
            <w:tcW w:w="992" w:type="dxa"/>
            <w:tcBorders>
              <w:bottom w:val="single" w:sz="4" w:space="0" w:color="auto"/>
            </w:tcBorders>
          </w:tcPr>
          <w:p w14:paraId="28A9E357" w14:textId="77777777" w:rsidR="00132640" w:rsidRPr="0080461D" w:rsidRDefault="00132640" w:rsidP="0080461D">
            <w:pPr>
              <w:spacing w:before="20" w:after="20" w:line="240" w:lineRule="auto"/>
              <w:jc w:val="center"/>
              <w:rPr>
                <w:rFonts w:ascii="Arial" w:hAnsi="Arial" w:cs="Arial"/>
                <w:b/>
                <w:sz w:val="22"/>
                <w:szCs w:val="22"/>
              </w:rPr>
            </w:pPr>
            <w:r w:rsidRPr="0080461D">
              <w:rPr>
                <w:rFonts w:ascii="Arial" w:hAnsi="Arial" w:cs="Arial"/>
                <w:b/>
                <w:sz w:val="22"/>
                <w:szCs w:val="22"/>
              </w:rPr>
              <w:t>2</w:t>
            </w:r>
          </w:p>
        </w:tc>
        <w:tc>
          <w:tcPr>
            <w:tcW w:w="875" w:type="dxa"/>
            <w:tcBorders>
              <w:top w:val="single" w:sz="4" w:space="0" w:color="auto"/>
              <w:bottom w:val="single" w:sz="4" w:space="0" w:color="auto"/>
            </w:tcBorders>
          </w:tcPr>
          <w:p w14:paraId="18834624" w14:textId="77777777" w:rsidR="00132640" w:rsidRPr="0080461D" w:rsidRDefault="00132640" w:rsidP="0080461D">
            <w:pPr>
              <w:spacing w:before="20" w:after="20" w:line="240" w:lineRule="auto"/>
              <w:jc w:val="center"/>
              <w:rPr>
                <w:rFonts w:ascii="Arial" w:hAnsi="Arial" w:cs="Arial"/>
                <w:b/>
                <w:sz w:val="22"/>
                <w:szCs w:val="22"/>
              </w:rPr>
            </w:pPr>
          </w:p>
        </w:tc>
      </w:tr>
    </w:tbl>
    <w:p w14:paraId="0740A204" w14:textId="77777777" w:rsidR="00132640" w:rsidRPr="008A0D84" w:rsidRDefault="00132640" w:rsidP="00132640">
      <w:pPr>
        <w:pStyle w:val="ListParagraph"/>
        <w:numPr>
          <w:ilvl w:val="1"/>
          <w:numId w:val="24"/>
        </w:numPr>
        <w:tabs>
          <w:tab w:val="clear" w:pos="851"/>
        </w:tabs>
        <w:spacing w:before="120" w:after="120" w:line="240" w:lineRule="auto"/>
        <w:ind w:left="567" w:hanging="567"/>
        <w:rPr>
          <w:rFonts w:ascii="Arial" w:hAnsi="Arial" w:cs="Arial"/>
          <w:sz w:val="24"/>
          <w:szCs w:val="24"/>
        </w:rPr>
      </w:pPr>
      <w:r w:rsidRPr="00246B09">
        <w:rPr>
          <w:rFonts w:ascii="Arial" w:hAnsi="Arial" w:cs="Arial"/>
          <w:sz w:val="24"/>
          <w:szCs w:val="24"/>
        </w:rPr>
        <w:t xml:space="preserve">We </w:t>
      </w:r>
      <w:r>
        <w:rPr>
          <w:rFonts w:ascii="Arial" w:hAnsi="Arial" w:cs="Arial"/>
          <w:sz w:val="24"/>
          <w:szCs w:val="24"/>
        </w:rPr>
        <w:t xml:space="preserve">have also followed </w:t>
      </w:r>
      <w:r w:rsidRPr="00246B09">
        <w:rPr>
          <w:rFonts w:ascii="Arial" w:hAnsi="Arial" w:cs="Arial"/>
          <w:sz w:val="24"/>
          <w:szCs w:val="24"/>
        </w:rPr>
        <w:t xml:space="preserve">up the actions agreed with </w:t>
      </w:r>
      <w:r>
        <w:rPr>
          <w:rFonts w:ascii="Arial" w:hAnsi="Arial" w:cs="Arial"/>
          <w:sz w:val="24"/>
          <w:szCs w:val="24"/>
        </w:rPr>
        <w:t xml:space="preserve">eight </w:t>
      </w:r>
      <w:r w:rsidRPr="00246B09">
        <w:rPr>
          <w:rFonts w:ascii="Arial" w:hAnsi="Arial" w:cs="Arial"/>
          <w:sz w:val="24"/>
          <w:szCs w:val="24"/>
        </w:rPr>
        <w:t xml:space="preserve">schools </w:t>
      </w:r>
      <w:r>
        <w:rPr>
          <w:rFonts w:ascii="Arial" w:hAnsi="Arial" w:cs="Arial"/>
          <w:sz w:val="24"/>
          <w:szCs w:val="24"/>
        </w:rPr>
        <w:t xml:space="preserve">where </w:t>
      </w:r>
      <w:r w:rsidRPr="00246B09">
        <w:rPr>
          <w:rFonts w:ascii="Arial" w:hAnsi="Arial" w:cs="Arial"/>
          <w:sz w:val="24"/>
          <w:szCs w:val="24"/>
        </w:rPr>
        <w:t xml:space="preserve">we </w:t>
      </w:r>
      <w:r>
        <w:rPr>
          <w:rFonts w:ascii="Arial" w:hAnsi="Arial" w:cs="Arial"/>
          <w:sz w:val="24"/>
          <w:szCs w:val="24"/>
        </w:rPr>
        <w:t xml:space="preserve">have previously provided </w:t>
      </w:r>
      <w:r w:rsidRPr="00246B09">
        <w:rPr>
          <w:rFonts w:ascii="Arial" w:hAnsi="Arial" w:cs="Arial"/>
          <w:sz w:val="24"/>
          <w:szCs w:val="24"/>
        </w:rPr>
        <w:t xml:space="preserve">only limited or no </w:t>
      </w:r>
      <w:r w:rsidRPr="008A0D84">
        <w:rPr>
          <w:rFonts w:ascii="Arial" w:hAnsi="Arial" w:cs="Arial"/>
          <w:sz w:val="24"/>
          <w:szCs w:val="24"/>
        </w:rPr>
        <w:t>assurance</w:t>
      </w:r>
      <w:r w:rsidR="00D2308A" w:rsidRPr="008A0D84">
        <w:rPr>
          <w:rFonts w:ascii="Arial" w:hAnsi="Arial" w:cs="Arial"/>
          <w:sz w:val="24"/>
          <w:szCs w:val="24"/>
        </w:rPr>
        <w:t xml:space="preserve"> and action has generally been taken as agreed</w:t>
      </w:r>
      <w:r w:rsidRPr="008A0D84">
        <w:rPr>
          <w:rFonts w:ascii="Arial" w:hAnsi="Arial" w:cs="Arial"/>
          <w:sz w:val="24"/>
          <w:szCs w:val="24"/>
        </w:rPr>
        <w:t>.</w:t>
      </w:r>
    </w:p>
    <w:p w14:paraId="55942907" w14:textId="77777777" w:rsidR="007865BD" w:rsidRPr="00743F49" w:rsidRDefault="007865BD" w:rsidP="00743F49">
      <w:pPr>
        <w:pStyle w:val="ListParagraph"/>
        <w:spacing w:before="240" w:after="120" w:line="240" w:lineRule="auto"/>
        <w:ind w:left="567"/>
        <w:rPr>
          <w:rFonts w:ascii="Arial" w:hAnsi="Arial" w:cs="Arial"/>
          <w:b/>
          <w:sz w:val="24"/>
          <w:szCs w:val="24"/>
        </w:rPr>
      </w:pPr>
      <w:r w:rsidRPr="00132640">
        <w:rPr>
          <w:rFonts w:ascii="Arial" w:hAnsi="Arial" w:cs="Arial"/>
          <w:b/>
          <w:sz w:val="24"/>
          <w:szCs w:val="24"/>
        </w:rPr>
        <w:t>Environment Directorate</w:t>
      </w:r>
    </w:p>
    <w:p w14:paraId="2FF6C683" w14:textId="77777777" w:rsidR="007865BD" w:rsidRPr="00132640" w:rsidRDefault="007865BD" w:rsidP="007865BD">
      <w:pPr>
        <w:pStyle w:val="ListParagraph"/>
        <w:spacing w:before="120" w:after="120" w:line="240" w:lineRule="auto"/>
        <w:ind w:left="567"/>
        <w:rPr>
          <w:rFonts w:ascii="Arial" w:hAnsi="Arial" w:cs="Arial"/>
          <w:b/>
          <w:i/>
          <w:sz w:val="24"/>
          <w:szCs w:val="24"/>
        </w:rPr>
      </w:pPr>
      <w:r w:rsidRPr="00132640">
        <w:rPr>
          <w:rFonts w:ascii="Arial" w:hAnsi="Arial" w:cs="Arial"/>
          <w:b/>
          <w:i/>
          <w:sz w:val="24"/>
          <w:szCs w:val="24"/>
        </w:rPr>
        <w:t>Use of highways contractors</w:t>
      </w:r>
      <w:r w:rsidR="00703A3F">
        <w:rPr>
          <w:rFonts w:ascii="Arial" w:hAnsi="Arial" w:cs="Arial"/>
          <w:b/>
          <w:i/>
          <w:sz w:val="24"/>
          <w:szCs w:val="24"/>
        </w:rPr>
        <w:t xml:space="preserve">: </w:t>
      </w:r>
      <w:r w:rsidR="00703A3F">
        <w:rPr>
          <w:rFonts w:ascii="Arial" w:hAnsi="Arial" w:cs="Arial"/>
          <w:i/>
          <w:sz w:val="24"/>
          <w:szCs w:val="24"/>
        </w:rPr>
        <w:t>limited</w:t>
      </w:r>
      <w:r w:rsidR="00703A3F" w:rsidRPr="00982197">
        <w:rPr>
          <w:rFonts w:ascii="Arial" w:hAnsi="Arial" w:cs="Arial"/>
          <w:i/>
          <w:sz w:val="24"/>
          <w:szCs w:val="24"/>
        </w:rPr>
        <w:t xml:space="preserve"> assurance</w:t>
      </w:r>
    </w:p>
    <w:p w14:paraId="292A68AE" w14:textId="77777777" w:rsidR="007865BD" w:rsidRDefault="00567DAD" w:rsidP="000419CC">
      <w:pPr>
        <w:pStyle w:val="ListParagraph"/>
        <w:numPr>
          <w:ilvl w:val="1"/>
          <w:numId w:val="24"/>
        </w:numPr>
        <w:tabs>
          <w:tab w:val="clear" w:pos="851"/>
        </w:tabs>
        <w:spacing w:before="120" w:after="120" w:line="240" w:lineRule="auto"/>
        <w:ind w:left="567" w:hanging="567"/>
        <w:rPr>
          <w:rFonts w:ascii="Arial" w:hAnsi="Arial" w:cs="Arial"/>
          <w:sz w:val="24"/>
          <w:szCs w:val="24"/>
        </w:rPr>
      </w:pPr>
      <w:r>
        <w:rPr>
          <w:rFonts w:ascii="Arial" w:hAnsi="Arial" w:cs="Arial"/>
          <w:sz w:val="24"/>
          <w:szCs w:val="24"/>
        </w:rPr>
        <w:t>Lancashire Highways Service</w:t>
      </w:r>
      <w:r w:rsidR="00D97734" w:rsidRPr="00D97734">
        <w:rPr>
          <w:rFonts w:ascii="Arial" w:hAnsi="Arial" w:cs="Arial"/>
          <w:sz w:val="24"/>
          <w:szCs w:val="24"/>
        </w:rPr>
        <w:t xml:space="preserve"> </w:t>
      </w:r>
      <w:r>
        <w:rPr>
          <w:rFonts w:ascii="Arial" w:hAnsi="Arial" w:cs="Arial"/>
          <w:sz w:val="24"/>
          <w:szCs w:val="24"/>
        </w:rPr>
        <w:t>is</w:t>
      </w:r>
      <w:r w:rsidR="00D97734" w:rsidRPr="00D97734">
        <w:rPr>
          <w:rFonts w:ascii="Arial" w:hAnsi="Arial" w:cs="Arial"/>
          <w:sz w:val="24"/>
          <w:szCs w:val="24"/>
        </w:rPr>
        <w:t xml:space="preserve"> responsible for designing, building and maintaining roads, buildings and other public and environmental assets on behalf of the county council. The services are generally provided by in-house teams located across the county although contractors are used for some specialist services and to provide extra capacity during periods of high demand. Procurement </w:t>
      </w:r>
      <w:r w:rsidR="00BD4F58">
        <w:rPr>
          <w:rFonts w:ascii="Arial" w:hAnsi="Arial" w:cs="Arial"/>
          <w:sz w:val="24"/>
          <w:szCs w:val="24"/>
        </w:rPr>
        <w:t>n</w:t>
      </w:r>
      <w:r w:rsidR="00D97734" w:rsidRPr="00D97734">
        <w:rPr>
          <w:rFonts w:ascii="Arial" w:hAnsi="Arial" w:cs="Arial"/>
          <w:sz w:val="24"/>
          <w:szCs w:val="24"/>
        </w:rPr>
        <w:t>otices are issued to update managers on contract arrangements which have been established by the Procurement Service</w:t>
      </w:r>
      <w:r w:rsidR="00BD4F58">
        <w:rPr>
          <w:rFonts w:ascii="Arial" w:hAnsi="Arial" w:cs="Arial"/>
          <w:sz w:val="24"/>
          <w:szCs w:val="24"/>
        </w:rPr>
        <w:t xml:space="preserve"> and </w:t>
      </w:r>
      <w:r w:rsidR="00D97734" w:rsidRPr="00D97734">
        <w:rPr>
          <w:rFonts w:ascii="Arial" w:hAnsi="Arial" w:cs="Arial"/>
          <w:sz w:val="24"/>
          <w:szCs w:val="24"/>
        </w:rPr>
        <w:t>staff must follow the council's Procurement Rules.</w:t>
      </w:r>
    </w:p>
    <w:p w14:paraId="5AFEB3ED" w14:textId="77777777" w:rsidR="00F14913" w:rsidRDefault="00F14913" w:rsidP="00F14913">
      <w:pPr>
        <w:pStyle w:val="ListParagraph"/>
        <w:numPr>
          <w:ilvl w:val="1"/>
          <w:numId w:val="24"/>
        </w:numPr>
        <w:tabs>
          <w:tab w:val="clear" w:pos="851"/>
        </w:tabs>
        <w:spacing w:before="120" w:after="120" w:line="240" w:lineRule="auto"/>
        <w:ind w:left="567" w:hanging="567"/>
        <w:rPr>
          <w:rFonts w:ascii="Arial" w:hAnsi="Arial" w:cs="Arial"/>
          <w:sz w:val="24"/>
          <w:szCs w:val="24"/>
        </w:rPr>
      </w:pPr>
      <w:r w:rsidRPr="00F14913">
        <w:rPr>
          <w:rFonts w:ascii="Arial" w:hAnsi="Arial" w:cs="Arial"/>
          <w:sz w:val="24"/>
          <w:szCs w:val="24"/>
        </w:rPr>
        <w:t>Non-contract spend is analysed</w:t>
      </w:r>
      <w:r>
        <w:rPr>
          <w:rFonts w:ascii="Arial" w:hAnsi="Arial" w:cs="Arial"/>
          <w:sz w:val="24"/>
          <w:szCs w:val="24"/>
        </w:rPr>
        <w:t xml:space="preserve"> </w:t>
      </w:r>
      <w:r w:rsidRPr="00F14913">
        <w:rPr>
          <w:rFonts w:ascii="Arial" w:hAnsi="Arial" w:cs="Arial"/>
          <w:sz w:val="24"/>
          <w:szCs w:val="24"/>
        </w:rPr>
        <w:t>and areas where corporate contracts could</w:t>
      </w:r>
      <w:r>
        <w:rPr>
          <w:rFonts w:ascii="Arial" w:hAnsi="Arial" w:cs="Arial"/>
          <w:sz w:val="24"/>
          <w:szCs w:val="24"/>
        </w:rPr>
        <w:t xml:space="preserve"> be put in place are identified</w:t>
      </w:r>
      <w:r w:rsidRPr="00F14913">
        <w:rPr>
          <w:rFonts w:ascii="Arial" w:hAnsi="Arial" w:cs="Arial"/>
          <w:sz w:val="24"/>
          <w:szCs w:val="24"/>
        </w:rPr>
        <w:t xml:space="preserve"> </w:t>
      </w:r>
      <w:r>
        <w:rPr>
          <w:rFonts w:ascii="Arial" w:hAnsi="Arial" w:cs="Arial"/>
          <w:sz w:val="24"/>
          <w:szCs w:val="24"/>
        </w:rPr>
        <w:t>annually, but no further work was undertaken to develop this and place additional corporate contracts accordingly during 2014.</w:t>
      </w:r>
    </w:p>
    <w:p w14:paraId="78496755" w14:textId="77777777" w:rsidR="00E50F01" w:rsidRPr="00F14913" w:rsidRDefault="00567DAD" w:rsidP="005A16CC">
      <w:pPr>
        <w:pStyle w:val="ListParagraph"/>
        <w:numPr>
          <w:ilvl w:val="1"/>
          <w:numId w:val="24"/>
        </w:numPr>
        <w:tabs>
          <w:tab w:val="clear" w:pos="851"/>
        </w:tabs>
        <w:spacing w:before="120" w:after="120" w:line="240" w:lineRule="auto"/>
        <w:ind w:left="567" w:hanging="567"/>
        <w:rPr>
          <w:rFonts w:ascii="Arial" w:hAnsi="Arial" w:cs="Arial"/>
          <w:sz w:val="24"/>
          <w:szCs w:val="24"/>
        </w:rPr>
      </w:pPr>
      <w:r w:rsidRPr="00F14913">
        <w:rPr>
          <w:rFonts w:ascii="Arial" w:hAnsi="Arial" w:cs="Arial"/>
          <w:sz w:val="24"/>
          <w:szCs w:val="24"/>
        </w:rPr>
        <w:t xml:space="preserve">We found a general lack of evidence that procurement </w:t>
      </w:r>
      <w:r w:rsidR="00F14913" w:rsidRPr="00F14913">
        <w:rPr>
          <w:rFonts w:ascii="Arial" w:hAnsi="Arial" w:cs="Arial"/>
          <w:sz w:val="24"/>
          <w:szCs w:val="24"/>
        </w:rPr>
        <w:t xml:space="preserve">exercises </w:t>
      </w:r>
      <w:r w:rsidRPr="00F14913">
        <w:rPr>
          <w:rFonts w:ascii="Arial" w:hAnsi="Arial" w:cs="Arial"/>
          <w:sz w:val="24"/>
          <w:szCs w:val="24"/>
        </w:rPr>
        <w:t xml:space="preserve">have </w:t>
      </w:r>
      <w:r w:rsidR="00F14913" w:rsidRPr="00F14913">
        <w:rPr>
          <w:rFonts w:ascii="Arial" w:hAnsi="Arial" w:cs="Arial"/>
          <w:sz w:val="24"/>
          <w:szCs w:val="24"/>
        </w:rPr>
        <w:t xml:space="preserve">taken place as required </w:t>
      </w:r>
      <w:r w:rsidRPr="00F14913">
        <w:rPr>
          <w:rFonts w:ascii="Arial" w:hAnsi="Arial" w:cs="Arial"/>
          <w:sz w:val="24"/>
          <w:szCs w:val="24"/>
        </w:rPr>
        <w:t xml:space="preserve">where corporate contracts are not </w:t>
      </w:r>
      <w:r w:rsidR="00F14913">
        <w:rPr>
          <w:rFonts w:ascii="Arial" w:hAnsi="Arial" w:cs="Arial"/>
          <w:sz w:val="24"/>
          <w:szCs w:val="24"/>
        </w:rPr>
        <w:t xml:space="preserve">already </w:t>
      </w:r>
      <w:r w:rsidRPr="00F14913">
        <w:rPr>
          <w:rFonts w:ascii="Arial" w:hAnsi="Arial" w:cs="Arial"/>
          <w:sz w:val="24"/>
          <w:szCs w:val="24"/>
        </w:rPr>
        <w:t>in place</w:t>
      </w:r>
      <w:r w:rsidR="00F14913" w:rsidRPr="00F14913">
        <w:rPr>
          <w:rFonts w:ascii="Arial" w:hAnsi="Arial" w:cs="Arial"/>
          <w:sz w:val="24"/>
          <w:szCs w:val="24"/>
        </w:rPr>
        <w:t>: e</w:t>
      </w:r>
      <w:r w:rsidR="00E50F01" w:rsidRPr="00F14913">
        <w:rPr>
          <w:rFonts w:ascii="Arial" w:hAnsi="Arial" w:cs="Arial"/>
          <w:sz w:val="24"/>
          <w:szCs w:val="24"/>
        </w:rPr>
        <w:t xml:space="preserve">vidence could not be located due to restructuring, office moves, and the lack of a formal </w:t>
      </w:r>
      <w:r w:rsidR="00E50F01" w:rsidRPr="00F14913">
        <w:rPr>
          <w:rFonts w:ascii="Arial" w:hAnsi="Arial" w:cs="Arial"/>
          <w:sz w:val="24"/>
          <w:szCs w:val="24"/>
        </w:rPr>
        <w:lastRenderedPageBreak/>
        <w:t xml:space="preserve">filing system. </w:t>
      </w:r>
      <w:r w:rsidR="00F14913" w:rsidRPr="00F14913">
        <w:rPr>
          <w:rFonts w:ascii="Arial" w:hAnsi="Arial" w:cs="Arial"/>
          <w:sz w:val="24"/>
          <w:szCs w:val="24"/>
        </w:rPr>
        <w:t>Wh</w:t>
      </w:r>
      <w:r w:rsidRPr="00F14913">
        <w:rPr>
          <w:rFonts w:ascii="Arial" w:hAnsi="Arial" w:cs="Arial"/>
          <w:sz w:val="24"/>
          <w:szCs w:val="24"/>
        </w:rPr>
        <w:t>ere corporate contracts are in place</w:t>
      </w:r>
      <w:r w:rsidR="00E50F01" w:rsidRPr="00F14913">
        <w:rPr>
          <w:rFonts w:ascii="Arial" w:hAnsi="Arial" w:cs="Arial"/>
          <w:sz w:val="24"/>
          <w:szCs w:val="24"/>
        </w:rPr>
        <w:t xml:space="preserve"> </w:t>
      </w:r>
      <w:r w:rsidR="00F14913" w:rsidRPr="00F14913">
        <w:rPr>
          <w:rFonts w:ascii="Arial" w:hAnsi="Arial" w:cs="Arial"/>
          <w:sz w:val="24"/>
          <w:szCs w:val="24"/>
        </w:rPr>
        <w:t xml:space="preserve">we found that </w:t>
      </w:r>
      <w:r w:rsidR="00E50F01" w:rsidRPr="00F14913">
        <w:rPr>
          <w:rFonts w:ascii="Arial" w:hAnsi="Arial" w:cs="Arial"/>
          <w:sz w:val="24"/>
          <w:szCs w:val="24"/>
        </w:rPr>
        <w:t xml:space="preserve">the first preferred supplier </w:t>
      </w:r>
      <w:r w:rsidRPr="00F14913">
        <w:rPr>
          <w:rFonts w:ascii="Arial" w:hAnsi="Arial" w:cs="Arial"/>
          <w:sz w:val="24"/>
          <w:szCs w:val="24"/>
        </w:rPr>
        <w:t xml:space="preserve">is frequently </w:t>
      </w:r>
      <w:r w:rsidR="00E50F01" w:rsidRPr="00F14913">
        <w:rPr>
          <w:rFonts w:ascii="Arial" w:hAnsi="Arial" w:cs="Arial"/>
          <w:sz w:val="24"/>
          <w:szCs w:val="24"/>
        </w:rPr>
        <w:t>not used, with no explanation</w:t>
      </w:r>
      <w:r w:rsidR="00F14913" w:rsidRPr="00F14913">
        <w:rPr>
          <w:rFonts w:ascii="Arial" w:hAnsi="Arial" w:cs="Arial"/>
          <w:sz w:val="24"/>
          <w:szCs w:val="24"/>
        </w:rPr>
        <w:t xml:space="preserve"> or evidence that the preferred suppliers had been contacted and been unable to undertake the work. Further, s</w:t>
      </w:r>
      <w:r w:rsidR="00E50F01" w:rsidRPr="00F14913">
        <w:rPr>
          <w:rFonts w:ascii="Arial" w:hAnsi="Arial" w:cs="Arial"/>
          <w:sz w:val="24"/>
          <w:szCs w:val="24"/>
        </w:rPr>
        <w:t xml:space="preserve">ome corporate contracts, such as traffic management, require mini tenders to be undertaken with selected suppliers if the order is above a specific threshold. For each of the three </w:t>
      </w:r>
      <w:r w:rsidR="00F14913">
        <w:rPr>
          <w:rFonts w:ascii="Arial" w:hAnsi="Arial" w:cs="Arial"/>
          <w:sz w:val="24"/>
          <w:szCs w:val="24"/>
        </w:rPr>
        <w:t>cases we</w:t>
      </w:r>
      <w:r w:rsidR="00E50F01" w:rsidRPr="00F14913">
        <w:rPr>
          <w:rFonts w:ascii="Arial" w:hAnsi="Arial" w:cs="Arial"/>
          <w:sz w:val="24"/>
          <w:szCs w:val="24"/>
        </w:rPr>
        <w:t xml:space="preserve"> sample</w:t>
      </w:r>
      <w:r w:rsidR="00F14913">
        <w:rPr>
          <w:rFonts w:ascii="Arial" w:hAnsi="Arial" w:cs="Arial"/>
          <w:sz w:val="24"/>
          <w:szCs w:val="24"/>
        </w:rPr>
        <w:t>d</w:t>
      </w:r>
      <w:r w:rsidR="00E50F01" w:rsidRPr="00F14913">
        <w:rPr>
          <w:rFonts w:ascii="Arial" w:hAnsi="Arial" w:cs="Arial"/>
          <w:sz w:val="24"/>
          <w:szCs w:val="24"/>
        </w:rPr>
        <w:t xml:space="preserve"> the required mini tender was not undertaken.</w:t>
      </w:r>
    </w:p>
    <w:p w14:paraId="330E18B9" w14:textId="2E5ECA98" w:rsidR="00D97734" w:rsidRPr="00703A3F" w:rsidRDefault="00703A3F" w:rsidP="000419CC">
      <w:pPr>
        <w:pStyle w:val="ListParagraph"/>
        <w:numPr>
          <w:ilvl w:val="1"/>
          <w:numId w:val="24"/>
        </w:numPr>
        <w:tabs>
          <w:tab w:val="clear" w:pos="851"/>
        </w:tabs>
        <w:spacing w:before="120" w:after="120" w:line="240" w:lineRule="auto"/>
        <w:ind w:left="567" w:hanging="567"/>
        <w:rPr>
          <w:rFonts w:ascii="Arial" w:hAnsi="Arial" w:cs="Arial"/>
          <w:sz w:val="24"/>
          <w:szCs w:val="24"/>
        </w:rPr>
      </w:pPr>
      <w:r w:rsidRPr="00703A3F">
        <w:rPr>
          <w:rFonts w:ascii="Arial" w:hAnsi="Arial" w:cs="Arial"/>
          <w:sz w:val="24"/>
          <w:szCs w:val="24"/>
        </w:rPr>
        <w:t xml:space="preserve">Actions have been agreed to address the issues </w:t>
      </w:r>
      <w:r w:rsidR="00B62309">
        <w:rPr>
          <w:rFonts w:ascii="Arial" w:hAnsi="Arial" w:cs="Arial"/>
          <w:sz w:val="24"/>
          <w:szCs w:val="24"/>
        </w:rPr>
        <w:t xml:space="preserve">– for example training for staff in the highways depots, and more effective oversight by managers – </w:t>
      </w:r>
      <w:r w:rsidRPr="00703A3F">
        <w:rPr>
          <w:rFonts w:ascii="Arial" w:hAnsi="Arial" w:cs="Arial"/>
          <w:sz w:val="24"/>
          <w:szCs w:val="24"/>
        </w:rPr>
        <w:t>and</w:t>
      </w:r>
      <w:r w:rsidR="00F14913">
        <w:rPr>
          <w:rFonts w:ascii="Arial" w:hAnsi="Arial" w:cs="Arial"/>
          <w:sz w:val="24"/>
          <w:szCs w:val="24"/>
        </w:rPr>
        <w:t xml:space="preserve">, if </w:t>
      </w:r>
      <w:r w:rsidR="00B62309">
        <w:rPr>
          <w:rFonts w:ascii="Arial" w:hAnsi="Arial" w:cs="Arial"/>
          <w:sz w:val="24"/>
          <w:szCs w:val="24"/>
        </w:rPr>
        <w:t xml:space="preserve">these are </w:t>
      </w:r>
      <w:r w:rsidR="00F14913">
        <w:rPr>
          <w:rFonts w:ascii="Arial" w:hAnsi="Arial" w:cs="Arial"/>
          <w:sz w:val="24"/>
          <w:szCs w:val="24"/>
        </w:rPr>
        <w:t xml:space="preserve">implemented, </w:t>
      </w:r>
      <w:r w:rsidR="00B62309">
        <w:rPr>
          <w:rFonts w:ascii="Arial" w:hAnsi="Arial" w:cs="Arial"/>
          <w:sz w:val="24"/>
          <w:szCs w:val="24"/>
        </w:rPr>
        <w:t xml:space="preserve">controls in this area will </w:t>
      </w:r>
      <w:r w:rsidR="00F14913">
        <w:rPr>
          <w:rFonts w:ascii="Arial" w:hAnsi="Arial" w:cs="Arial"/>
          <w:sz w:val="24"/>
          <w:szCs w:val="24"/>
        </w:rPr>
        <w:t>be audited again</w:t>
      </w:r>
      <w:r w:rsidRPr="00703A3F">
        <w:rPr>
          <w:rFonts w:ascii="Arial" w:hAnsi="Arial" w:cs="Arial"/>
          <w:sz w:val="24"/>
          <w:szCs w:val="24"/>
        </w:rPr>
        <w:t xml:space="preserve"> before the end of the year.</w:t>
      </w:r>
    </w:p>
    <w:p w14:paraId="3ED739F6" w14:textId="77777777" w:rsidR="007865BD" w:rsidRPr="00743F49" w:rsidRDefault="007865BD" w:rsidP="00743F49">
      <w:pPr>
        <w:pStyle w:val="ListParagraph"/>
        <w:spacing w:before="240" w:after="120" w:line="240" w:lineRule="auto"/>
        <w:ind w:left="567"/>
        <w:rPr>
          <w:rFonts w:ascii="Arial" w:hAnsi="Arial" w:cs="Arial"/>
          <w:b/>
          <w:sz w:val="24"/>
          <w:szCs w:val="24"/>
        </w:rPr>
      </w:pPr>
      <w:r w:rsidRPr="00132640">
        <w:rPr>
          <w:rFonts w:ascii="Arial" w:hAnsi="Arial" w:cs="Arial"/>
          <w:b/>
          <w:sz w:val="24"/>
          <w:szCs w:val="24"/>
        </w:rPr>
        <w:t>Lancashire County Commercial Group</w:t>
      </w:r>
    </w:p>
    <w:p w14:paraId="61D77A84" w14:textId="77777777" w:rsidR="007865BD" w:rsidRPr="00132640" w:rsidRDefault="007865BD" w:rsidP="007865BD">
      <w:pPr>
        <w:pStyle w:val="ListParagraph"/>
        <w:spacing w:before="120" w:after="120" w:line="240" w:lineRule="auto"/>
        <w:ind w:left="567"/>
        <w:rPr>
          <w:rFonts w:ascii="Arial" w:hAnsi="Arial" w:cs="Arial"/>
          <w:b/>
          <w:i/>
          <w:sz w:val="24"/>
          <w:szCs w:val="24"/>
        </w:rPr>
      </w:pPr>
      <w:r w:rsidRPr="00132640">
        <w:rPr>
          <w:rFonts w:ascii="Arial" w:hAnsi="Arial" w:cs="Arial"/>
          <w:b/>
          <w:i/>
          <w:sz w:val="24"/>
          <w:szCs w:val="24"/>
        </w:rPr>
        <w:t>Fleet Services</w:t>
      </w:r>
      <w:r w:rsidR="008B3E6E">
        <w:rPr>
          <w:rFonts w:ascii="Arial" w:hAnsi="Arial" w:cs="Arial"/>
          <w:b/>
          <w:i/>
          <w:sz w:val="24"/>
          <w:szCs w:val="24"/>
        </w:rPr>
        <w:t xml:space="preserve">: </w:t>
      </w:r>
      <w:r w:rsidR="008B3E6E" w:rsidRPr="00982197">
        <w:rPr>
          <w:rFonts w:ascii="Arial" w:hAnsi="Arial" w:cs="Arial"/>
          <w:i/>
          <w:sz w:val="24"/>
          <w:szCs w:val="24"/>
        </w:rPr>
        <w:t>substantial assurance</w:t>
      </w:r>
    </w:p>
    <w:p w14:paraId="2284063A" w14:textId="77777777" w:rsidR="00C36904" w:rsidRPr="00C36904" w:rsidRDefault="00B73375" w:rsidP="00B321C9">
      <w:pPr>
        <w:pStyle w:val="ListParagraph"/>
        <w:numPr>
          <w:ilvl w:val="1"/>
          <w:numId w:val="24"/>
        </w:numPr>
        <w:tabs>
          <w:tab w:val="clear" w:pos="851"/>
        </w:tabs>
        <w:spacing w:before="120" w:after="120" w:line="240" w:lineRule="auto"/>
        <w:ind w:left="567" w:hanging="567"/>
        <w:rPr>
          <w:rFonts w:ascii="Arial" w:hAnsi="Arial" w:cs="Arial"/>
          <w:sz w:val="24"/>
          <w:szCs w:val="24"/>
        </w:rPr>
      </w:pPr>
      <w:r w:rsidRPr="00C36904">
        <w:rPr>
          <w:rFonts w:ascii="Arial" w:hAnsi="Arial" w:cs="Arial"/>
          <w:sz w:val="24"/>
          <w:szCs w:val="24"/>
        </w:rPr>
        <w:t xml:space="preserve">Fleet Services manages and maintains over 950 vehicles and 1,000 plant items </w:t>
      </w:r>
      <w:r w:rsidR="00C36904" w:rsidRPr="00C36904">
        <w:rPr>
          <w:rFonts w:ascii="Arial" w:hAnsi="Arial" w:cs="Arial"/>
          <w:sz w:val="24"/>
          <w:szCs w:val="24"/>
        </w:rPr>
        <w:t>for</w:t>
      </w:r>
      <w:r w:rsidRPr="00C36904">
        <w:rPr>
          <w:rFonts w:ascii="Arial" w:hAnsi="Arial" w:cs="Arial"/>
          <w:sz w:val="24"/>
          <w:szCs w:val="24"/>
        </w:rPr>
        <w:t xml:space="preserve"> the county council </w:t>
      </w:r>
      <w:r w:rsidR="00C36904" w:rsidRPr="00C36904">
        <w:rPr>
          <w:rFonts w:ascii="Arial" w:hAnsi="Arial" w:cs="Arial"/>
          <w:sz w:val="24"/>
          <w:szCs w:val="24"/>
        </w:rPr>
        <w:t>as well as</w:t>
      </w:r>
      <w:r w:rsidRPr="00C36904">
        <w:rPr>
          <w:rFonts w:ascii="Arial" w:hAnsi="Arial" w:cs="Arial"/>
          <w:sz w:val="24"/>
          <w:szCs w:val="24"/>
        </w:rPr>
        <w:t xml:space="preserve"> maintaining additional vehicles on behalf of external partners such as Burnley Borough Council.</w:t>
      </w:r>
      <w:r w:rsidR="00C36904" w:rsidRPr="00C36904">
        <w:rPr>
          <w:rFonts w:ascii="Arial" w:hAnsi="Arial" w:cs="Arial"/>
          <w:sz w:val="24"/>
          <w:szCs w:val="24"/>
        </w:rPr>
        <w:t xml:space="preserve"> The service </w:t>
      </w:r>
      <w:r w:rsidR="00C36904">
        <w:rPr>
          <w:rFonts w:ascii="Arial" w:hAnsi="Arial" w:cs="Arial"/>
          <w:sz w:val="24"/>
          <w:szCs w:val="24"/>
        </w:rPr>
        <w:t xml:space="preserve">also </w:t>
      </w:r>
      <w:r w:rsidR="00C36904" w:rsidRPr="00C36904">
        <w:rPr>
          <w:rFonts w:ascii="Arial" w:hAnsi="Arial" w:cs="Arial"/>
          <w:sz w:val="24"/>
          <w:szCs w:val="24"/>
        </w:rPr>
        <w:t>issue</w:t>
      </w:r>
      <w:r w:rsidR="00C36904">
        <w:rPr>
          <w:rFonts w:ascii="Arial" w:hAnsi="Arial" w:cs="Arial"/>
          <w:sz w:val="24"/>
          <w:szCs w:val="24"/>
        </w:rPr>
        <w:t>s</w:t>
      </w:r>
      <w:r w:rsidR="00C36904" w:rsidRPr="00C36904">
        <w:rPr>
          <w:rFonts w:ascii="Arial" w:hAnsi="Arial" w:cs="Arial"/>
          <w:sz w:val="24"/>
          <w:szCs w:val="24"/>
        </w:rPr>
        <w:t>, maintain</w:t>
      </w:r>
      <w:r w:rsidR="00C36904">
        <w:rPr>
          <w:rFonts w:ascii="Arial" w:hAnsi="Arial" w:cs="Arial"/>
          <w:sz w:val="24"/>
          <w:szCs w:val="24"/>
        </w:rPr>
        <w:t>s</w:t>
      </w:r>
      <w:r w:rsidR="00C36904" w:rsidRPr="00C36904">
        <w:rPr>
          <w:rFonts w:ascii="Arial" w:hAnsi="Arial" w:cs="Arial"/>
          <w:sz w:val="24"/>
          <w:szCs w:val="24"/>
        </w:rPr>
        <w:t xml:space="preserve"> and monitor</w:t>
      </w:r>
      <w:r w:rsidR="00C36904">
        <w:rPr>
          <w:rFonts w:ascii="Arial" w:hAnsi="Arial" w:cs="Arial"/>
          <w:sz w:val="24"/>
          <w:szCs w:val="24"/>
        </w:rPr>
        <w:t>s</w:t>
      </w:r>
      <w:r w:rsidR="00C36904" w:rsidRPr="00C36904">
        <w:rPr>
          <w:rFonts w:ascii="Arial" w:hAnsi="Arial" w:cs="Arial"/>
          <w:sz w:val="24"/>
          <w:szCs w:val="24"/>
        </w:rPr>
        <w:t xml:space="preserve"> the usage of all fuel cards allocated to fleet vehicles, departments </w:t>
      </w:r>
      <w:r w:rsidR="00C36904">
        <w:rPr>
          <w:rFonts w:ascii="Arial" w:hAnsi="Arial" w:cs="Arial"/>
          <w:sz w:val="24"/>
          <w:szCs w:val="24"/>
        </w:rPr>
        <w:t>and</w:t>
      </w:r>
      <w:r w:rsidR="00C36904" w:rsidRPr="00C36904">
        <w:rPr>
          <w:rFonts w:ascii="Arial" w:hAnsi="Arial" w:cs="Arial"/>
          <w:sz w:val="24"/>
          <w:szCs w:val="24"/>
        </w:rPr>
        <w:t xml:space="preserve"> named individuals for obtainin</w:t>
      </w:r>
      <w:r w:rsidR="00C36904">
        <w:rPr>
          <w:rFonts w:ascii="Arial" w:hAnsi="Arial" w:cs="Arial"/>
          <w:sz w:val="24"/>
          <w:szCs w:val="24"/>
        </w:rPr>
        <w:t>g fuel from garage forecourts.</w:t>
      </w:r>
    </w:p>
    <w:p w14:paraId="3DEFA49B" w14:textId="77777777" w:rsidR="00B73375" w:rsidRPr="00B73375" w:rsidRDefault="00B73375" w:rsidP="00B73375">
      <w:pPr>
        <w:pStyle w:val="ListParagraph"/>
        <w:numPr>
          <w:ilvl w:val="1"/>
          <w:numId w:val="24"/>
        </w:numPr>
        <w:tabs>
          <w:tab w:val="clear" w:pos="851"/>
        </w:tabs>
        <w:spacing w:before="120" w:after="120" w:line="240" w:lineRule="auto"/>
        <w:ind w:left="567" w:hanging="567"/>
        <w:rPr>
          <w:rFonts w:ascii="Arial" w:hAnsi="Arial" w:cs="Arial"/>
          <w:sz w:val="24"/>
          <w:szCs w:val="24"/>
        </w:rPr>
      </w:pPr>
      <w:r w:rsidRPr="00B73375">
        <w:rPr>
          <w:rFonts w:ascii="Arial" w:hAnsi="Arial" w:cs="Arial"/>
          <w:sz w:val="24"/>
          <w:szCs w:val="24"/>
        </w:rPr>
        <w:t xml:space="preserve">The RAMP (Repair </w:t>
      </w:r>
      <w:proofErr w:type="gramStart"/>
      <w:r w:rsidRPr="00B73375">
        <w:rPr>
          <w:rFonts w:ascii="Arial" w:hAnsi="Arial" w:cs="Arial"/>
          <w:sz w:val="24"/>
          <w:szCs w:val="24"/>
        </w:rPr>
        <w:t>And</w:t>
      </w:r>
      <w:proofErr w:type="gramEnd"/>
      <w:r w:rsidRPr="00B73375">
        <w:rPr>
          <w:rFonts w:ascii="Arial" w:hAnsi="Arial" w:cs="Arial"/>
          <w:sz w:val="24"/>
          <w:szCs w:val="24"/>
        </w:rPr>
        <w:t xml:space="preserve"> Maintenance Programme) system records all vehicle and plant items, their location, service dates, repairs, end </w:t>
      </w:r>
      <w:r w:rsidR="00C36904">
        <w:rPr>
          <w:rFonts w:ascii="Arial" w:hAnsi="Arial" w:cs="Arial"/>
          <w:sz w:val="24"/>
          <w:szCs w:val="24"/>
        </w:rPr>
        <w:t xml:space="preserve">of </w:t>
      </w:r>
      <w:r w:rsidRPr="00B73375">
        <w:rPr>
          <w:rFonts w:ascii="Arial" w:hAnsi="Arial" w:cs="Arial"/>
          <w:sz w:val="24"/>
          <w:szCs w:val="24"/>
        </w:rPr>
        <w:t xml:space="preserve">life and disposal/ sale. It is also designed to record orders and invoices for vehicle and plant item purchases and related expenditure. Invoice data is transferred from RAMP into the Oracle accounts payable system for payment.  </w:t>
      </w:r>
    </w:p>
    <w:p w14:paraId="2D8A975D" w14:textId="77777777" w:rsidR="007865BD" w:rsidRPr="00D97734" w:rsidRDefault="008B3E6E" w:rsidP="00D97734">
      <w:pPr>
        <w:pStyle w:val="ListParagraph"/>
        <w:numPr>
          <w:ilvl w:val="1"/>
          <w:numId w:val="24"/>
        </w:numPr>
        <w:tabs>
          <w:tab w:val="clear" w:pos="851"/>
        </w:tabs>
        <w:spacing w:before="120" w:after="120" w:line="240" w:lineRule="auto"/>
        <w:ind w:left="567" w:hanging="567"/>
        <w:rPr>
          <w:rFonts w:ascii="Arial" w:hAnsi="Arial" w:cs="Arial"/>
          <w:sz w:val="24"/>
          <w:szCs w:val="24"/>
        </w:rPr>
      </w:pPr>
      <w:r>
        <w:rPr>
          <w:rFonts w:ascii="Arial" w:hAnsi="Arial" w:cs="Arial"/>
          <w:sz w:val="24"/>
          <w:szCs w:val="24"/>
        </w:rPr>
        <w:t>G</w:t>
      </w:r>
      <w:r w:rsidRPr="008B3E6E">
        <w:rPr>
          <w:rFonts w:ascii="Arial" w:hAnsi="Arial" w:cs="Arial"/>
          <w:sz w:val="24"/>
          <w:szCs w:val="24"/>
        </w:rPr>
        <w:t>ood practices have been established, especially for servicing fleet vehicles and in relation to the accuracy of vehicle and plant item details entered in to RAMP (Repair And Maintenance Programme)</w:t>
      </w:r>
      <w:r>
        <w:rPr>
          <w:rFonts w:ascii="Arial" w:hAnsi="Arial" w:cs="Arial"/>
          <w:sz w:val="24"/>
          <w:szCs w:val="24"/>
        </w:rPr>
        <w:t xml:space="preserve">. However </w:t>
      </w:r>
      <w:r w:rsidRPr="008B3E6E">
        <w:rPr>
          <w:rFonts w:ascii="Arial" w:hAnsi="Arial" w:cs="Arial"/>
          <w:sz w:val="24"/>
          <w:szCs w:val="24"/>
        </w:rPr>
        <w:t xml:space="preserve">there are some areas </w:t>
      </w:r>
      <w:r>
        <w:rPr>
          <w:rFonts w:ascii="Arial" w:hAnsi="Arial" w:cs="Arial"/>
          <w:sz w:val="24"/>
          <w:szCs w:val="24"/>
        </w:rPr>
        <w:t xml:space="preserve">where controls should be </w:t>
      </w:r>
      <w:r w:rsidRPr="008B3E6E">
        <w:rPr>
          <w:rFonts w:ascii="Arial" w:hAnsi="Arial" w:cs="Arial"/>
          <w:sz w:val="24"/>
          <w:szCs w:val="24"/>
        </w:rPr>
        <w:t>improve</w:t>
      </w:r>
      <w:r>
        <w:rPr>
          <w:rFonts w:ascii="Arial" w:hAnsi="Arial" w:cs="Arial"/>
          <w:sz w:val="24"/>
          <w:szCs w:val="24"/>
        </w:rPr>
        <w:t>d, i</w:t>
      </w:r>
      <w:r w:rsidRPr="008B3E6E">
        <w:rPr>
          <w:rFonts w:ascii="Arial" w:hAnsi="Arial" w:cs="Arial"/>
          <w:sz w:val="24"/>
          <w:szCs w:val="24"/>
        </w:rPr>
        <w:t xml:space="preserve">n particular, </w:t>
      </w:r>
      <w:r w:rsidR="00D97734">
        <w:rPr>
          <w:rFonts w:ascii="Arial" w:hAnsi="Arial" w:cs="Arial"/>
          <w:sz w:val="24"/>
          <w:szCs w:val="24"/>
        </w:rPr>
        <w:t>around</w:t>
      </w:r>
      <w:r w:rsidRPr="008B3E6E">
        <w:rPr>
          <w:rFonts w:ascii="Arial" w:hAnsi="Arial" w:cs="Arial"/>
          <w:sz w:val="24"/>
          <w:szCs w:val="24"/>
        </w:rPr>
        <w:t xml:space="preserve"> the use of the RAMP system to process payments.</w:t>
      </w:r>
    </w:p>
    <w:sectPr w:rsidR="007865BD" w:rsidRPr="00D97734" w:rsidSect="006B3BBA">
      <w:headerReference w:type="default" r:id="rId8"/>
      <w:footerReference w:type="even" r:id="rId9"/>
      <w:footerReference w:type="default" r:id="rId10"/>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02428" w14:textId="77777777" w:rsidR="00A55EB5" w:rsidRDefault="00A55EB5">
      <w:pPr>
        <w:spacing w:line="240" w:lineRule="auto"/>
      </w:pPr>
      <w:r>
        <w:separator/>
      </w:r>
    </w:p>
  </w:endnote>
  <w:endnote w:type="continuationSeparator" w:id="0">
    <w:p w14:paraId="412ADFDB" w14:textId="77777777" w:rsidR="00A55EB5" w:rsidRDefault="00A55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CD6D" w14:textId="77777777" w:rsidR="00774C63" w:rsidRDefault="00EC0999">
    <w:pPr>
      <w:pStyle w:val="Footer"/>
      <w:framePr w:wrap="around" w:vAnchor="text" w:hAnchor="margin" w:xAlign="center" w:y="1"/>
      <w:rPr>
        <w:rStyle w:val="PageNumber"/>
      </w:rPr>
    </w:pPr>
    <w:r>
      <w:rPr>
        <w:rStyle w:val="PageNumber"/>
      </w:rPr>
      <w:fldChar w:fldCharType="begin"/>
    </w:r>
    <w:r w:rsidR="00774C63">
      <w:rPr>
        <w:rStyle w:val="PageNumber"/>
      </w:rPr>
      <w:instrText xml:space="preserve">PAGE  </w:instrText>
    </w:r>
    <w:r>
      <w:rPr>
        <w:rStyle w:val="PageNumber"/>
      </w:rPr>
      <w:fldChar w:fldCharType="end"/>
    </w:r>
  </w:p>
  <w:p w14:paraId="02EE8F1D" w14:textId="77777777" w:rsidR="00774C63" w:rsidRDefault="00774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175411"/>
      <w:docPartObj>
        <w:docPartGallery w:val="Page Numbers (Bottom of Page)"/>
        <w:docPartUnique/>
      </w:docPartObj>
    </w:sdtPr>
    <w:sdtEndPr>
      <w:rPr>
        <w:rFonts w:ascii="Arial" w:hAnsi="Arial" w:cs="Arial"/>
        <w:noProof/>
        <w:sz w:val="24"/>
        <w:szCs w:val="24"/>
      </w:rPr>
    </w:sdtEndPr>
    <w:sdtContent>
      <w:p w14:paraId="016B83DF" w14:textId="0F60D7F9" w:rsidR="000A0BD7" w:rsidRPr="000A0BD7" w:rsidRDefault="000A0BD7">
        <w:pPr>
          <w:pStyle w:val="Footer"/>
          <w:jc w:val="center"/>
          <w:rPr>
            <w:rFonts w:ascii="Arial" w:hAnsi="Arial" w:cs="Arial"/>
            <w:sz w:val="24"/>
            <w:szCs w:val="24"/>
          </w:rPr>
        </w:pPr>
        <w:r w:rsidRPr="000A0BD7">
          <w:rPr>
            <w:rFonts w:ascii="Arial" w:hAnsi="Arial" w:cs="Arial"/>
            <w:sz w:val="24"/>
            <w:szCs w:val="24"/>
          </w:rPr>
          <w:fldChar w:fldCharType="begin"/>
        </w:r>
        <w:r w:rsidRPr="000A0BD7">
          <w:rPr>
            <w:rFonts w:ascii="Arial" w:hAnsi="Arial" w:cs="Arial"/>
            <w:sz w:val="24"/>
            <w:szCs w:val="24"/>
          </w:rPr>
          <w:instrText xml:space="preserve"> PAGE   \* MERGEFORMAT </w:instrText>
        </w:r>
        <w:r w:rsidRPr="000A0BD7">
          <w:rPr>
            <w:rFonts w:ascii="Arial" w:hAnsi="Arial" w:cs="Arial"/>
            <w:sz w:val="24"/>
            <w:szCs w:val="24"/>
          </w:rPr>
          <w:fldChar w:fldCharType="separate"/>
        </w:r>
        <w:r w:rsidR="002E566A">
          <w:rPr>
            <w:rFonts w:ascii="Arial" w:hAnsi="Arial" w:cs="Arial"/>
            <w:noProof/>
            <w:sz w:val="24"/>
            <w:szCs w:val="24"/>
          </w:rPr>
          <w:t>7</w:t>
        </w:r>
        <w:r w:rsidRPr="000A0BD7">
          <w:rPr>
            <w:rFonts w:ascii="Arial" w:hAnsi="Arial" w:cs="Arial"/>
            <w:noProof/>
            <w:sz w:val="24"/>
            <w:szCs w:val="24"/>
          </w:rPr>
          <w:fldChar w:fldCharType="end"/>
        </w:r>
      </w:p>
    </w:sdtContent>
  </w:sdt>
  <w:p w14:paraId="1829ADC6" w14:textId="5C674915" w:rsidR="00774C63" w:rsidRPr="002D79E8" w:rsidRDefault="00774C63" w:rsidP="00AC61FC">
    <w:pPr>
      <w:pStyle w:val="Footer"/>
      <w:tabs>
        <w:tab w:val="clear" w:pos="4153"/>
        <w:tab w:val="left" w:pos="3119"/>
      </w:tabs>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71FC" w14:textId="77777777" w:rsidR="00A55EB5" w:rsidRDefault="00A55EB5">
      <w:pPr>
        <w:spacing w:line="240" w:lineRule="auto"/>
      </w:pPr>
      <w:r>
        <w:separator/>
      </w:r>
    </w:p>
  </w:footnote>
  <w:footnote w:type="continuationSeparator" w:id="0">
    <w:p w14:paraId="466534F2" w14:textId="77777777" w:rsidR="00A55EB5" w:rsidRDefault="00A55E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0D4E" w14:textId="77777777" w:rsidR="00774C63" w:rsidRDefault="00774C63">
    <w:pPr>
      <w:pStyle w:val="Header"/>
      <w:rPr>
        <w:rFonts w:ascii="Arial" w:hAnsi="Arial" w:cs="Arial"/>
        <w:b/>
        <w:sz w:val="24"/>
        <w:szCs w:val="24"/>
      </w:rPr>
    </w:pPr>
    <w:r>
      <w:rPr>
        <w:rFonts w:ascii="Arial" w:hAnsi="Arial" w:cs="Arial"/>
        <w:b/>
        <w:sz w:val="24"/>
        <w:szCs w:val="24"/>
      </w:rPr>
      <w:t>Internal Audit Service progress against plan 201</w:t>
    </w:r>
    <w:r w:rsidR="000739B4">
      <w:rPr>
        <w:rFonts w:ascii="Arial" w:hAnsi="Arial" w:cs="Arial"/>
        <w:b/>
        <w:sz w:val="24"/>
        <w:szCs w:val="24"/>
      </w:rPr>
      <w:t>4/15</w:t>
    </w:r>
  </w:p>
  <w:p w14:paraId="21995F20" w14:textId="77777777" w:rsidR="00774C63" w:rsidRPr="00CF65CC" w:rsidRDefault="00774C63">
    <w:pPr>
      <w:pStyle w:val="Header"/>
      <w:rPr>
        <w:rFonts w:ascii="Arial" w:hAnsi="Arial" w:cs="Arial"/>
        <w:sz w:val="24"/>
        <w:szCs w:val="24"/>
      </w:rPr>
    </w:pPr>
    <w:r>
      <w:rPr>
        <w:rFonts w:ascii="Arial" w:hAnsi="Arial" w:cs="Arial"/>
        <w:sz w:val="24"/>
        <w:szCs w:val="24"/>
      </w:rPr>
      <w:t xml:space="preserve">Audit and Governance Committee meeting </w:t>
    </w:r>
    <w:r w:rsidR="00EA0433">
      <w:rPr>
        <w:rFonts w:ascii="Arial" w:hAnsi="Arial" w:cs="Arial"/>
        <w:sz w:val="24"/>
        <w:szCs w:val="24"/>
      </w:rPr>
      <w:t>26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63B8D"/>
    <w:multiLevelType w:val="multilevel"/>
    <w:tmpl w:val="53821ECA"/>
    <w:numStyleLink w:val="Ruth-numberedparagraphoutline"/>
  </w:abstractNum>
  <w:abstractNum w:abstractNumId="2">
    <w:nsid w:val="05925A6C"/>
    <w:multiLevelType w:val="hybridMultilevel"/>
    <w:tmpl w:val="60C2896C"/>
    <w:lvl w:ilvl="0" w:tplc="68E0F5DA">
      <w:start w:val="1"/>
      <w:numFmt w:val="decimal"/>
      <w:lvlText w:val="%1"/>
      <w:lvlJc w:val="left"/>
      <w:pPr>
        <w:tabs>
          <w:tab w:val="num" w:pos="0"/>
        </w:tabs>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71445E9"/>
    <w:multiLevelType w:val="hybridMultilevel"/>
    <w:tmpl w:val="78106BC4"/>
    <w:lvl w:ilvl="0" w:tplc="D50E3064">
      <w:numFmt w:val="bullet"/>
      <w:lvlText w:val="•"/>
      <w:lvlJc w:val="left"/>
      <w:pPr>
        <w:ind w:left="2130" w:hanging="705"/>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4">
    <w:nsid w:val="0BAE3156"/>
    <w:multiLevelType w:val="multilevel"/>
    <w:tmpl w:val="80407BC2"/>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5">
    <w:nsid w:val="17537CCA"/>
    <w:multiLevelType w:val="hybridMultilevel"/>
    <w:tmpl w:val="5F989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7D0934"/>
    <w:multiLevelType w:val="multilevel"/>
    <w:tmpl w:val="A45AA6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9952920"/>
    <w:multiLevelType w:val="hybridMultilevel"/>
    <w:tmpl w:val="E39EC8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DE34C7B"/>
    <w:multiLevelType w:val="hybridMultilevel"/>
    <w:tmpl w:val="BB3432EA"/>
    <w:lvl w:ilvl="0" w:tplc="39B43E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35D48"/>
    <w:multiLevelType w:val="hybridMultilevel"/>
    <w:tmpl w:val="A0D8F3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5A01C50"/>
    <w:multiLevelType w:val="hybridMultilevel"/>
    <w:tmpl w:val="CD54A3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87264D8"/>
    <w:multiLevelType w:val="multilevel"/>
    <w:tmpl w:val="4E92AA8C"/>
    <w:numStyleLink w:val="Style1"/>
  </w:abstractNum>
  <w:abstractNum w:abstractNumId="12">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293341"/>
    <w:multiLevelType w:val="multilevel"/>
    <w:tmpl w:val="BE100D6C"/>
    <w:lvl w:ilvl="0">
      <w:start w:val="1"/>
      <w:numFmt w:val="decimal"/>
      <w:lvlText w:val="%1"/>
      <w:lvlJc w:val="left"/>
      <w:pPr>
        <w:tabs>
          <w:tab w:val="num" w:pos="567"/>
        </w:tabs>
        <w:ind w:left="567" w:hanging="567"/>
      </w:pPr>
      <w:rPr>
        <w:rFonts w:hint="default"/>
        <w:sz w:val="32"/>
        <w:szCs w:val="32"/>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6E52A47"/>
    <w:multiLevelType w:val="hybridMultilevel"/>
    <w:tmpl w:val="5094A9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A842BC3"/>
    <w:multiLevelType w:val="multilevel"/>
    <w:tmpl w:val="28D82E3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2E0A58"/>
    <w:multiLevelType w:val="multilevel"/>
    <w:tmpl w:val="30D6E980"/>
    <w:lvl w:ilvl="0">
      <w:start w:val="1"/>
      <w:numFmt w:val="decimal"/>
      <w:lvlText w:val="%1"/>
      <w:lvlJc w:val="left"/>
      <w:pPr>
        <w:ind w:left="360" w:hanging="360"/>
      </w:pPr>
      <w:rPr>
        <w:rFonts w:hint="default"/>
        <w:b w:val="0"/>
        <w:sz w:val="24"/>
      </w:rPr>
    </w:lvl>
    <w:lvl w:ilvl="1">
      <w:start w:val="1"/>
      <w:numFmt w:val="bullet"/>
      <w:lvlText w:val=""/>
      <w:lvlJc w:val="left"/>
      <w:pPr>
        <w:ind w:left="720" w:hanging="72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8">
    <w:nsid w:val="49E17622"/>
    <w:multiLevelType w:val="hybridMultilevel"/>
    <w:tmpl w:val="B4DCEBD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9">
    <w:nsid w:val="4AE03215"/>
    <w:multiLevelType w:val="multilevel"/>
    <w:tmpl w:val="4F1A11D0"/>
    <w:lvl w:ilvl="0">
      <w:start w:val="1"/>
      <w:numFmt w:val="decimal"/>
      <w:lvlText w:val="%1"/>
      <w:lvlJc w:val="left"/>
      <w:pPr>
        <w:ind w:left="360" w:hanging="360"/>
      </w:pPr>
      <w:rPr>
        <w:rFonts w:hint="default"/>
        <w:b w:val="0"/>
        <w:sz w:val="24"/>
      </w:rPr>
    </w:lvl>
    <w:lvl w:ilvl="1">
      <w:start w:val="3"/>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0">
    <w:nsid w:val="4EFC6393"/>
    <w:multiLevelType w:val="multilevel"/>
    <w:tmpl w:val="4E92AA8C"/>
    <w:styleLink w:val="Style1"/>
    <w:lvl w:ilvl="0">
      <w:start w:val="1"/>
      <w:numFmt w:val="decimal"/>
      <w:lvlText w:val="%1"/>
      <w:lvlJc w:val="left"/>
      <w:pPr>
        <w:tabs>
          <w:tab w:val="num" w:pos="851"/>
        </w:tabs>
        <w:ind w:left="851" w:hanging="851"/>
      </w:pPr>
      <w:rPr>
        <w:rFonts w:ascii="Arial Bold" w:hAnsi="Arial Bold" w:cs="Times New Roman" w:hint="default"/>
        <w:b/>
        <w:i w:val="0"/>
        <w:sz w:val="28"/>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1">
    <w:nsid w:val="52B23514"/>
    <w:multiLevelType w:val="multilevel"/>
    <w:tmpl w:val="B762B1D6"/>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3">
    <w:nsid w:val="5AD73CE8"/>
    <w:multiLevelType w:val="multilevel"/>
    <w:tmpl w:val="0809001F"/>
    <w:numStyleLink w:val="Ruth-numberedheading"/>
  </w:abstractNum>
  <w:abstractNum w:abstractNumId="24">
    <w:nsid w:val="63B3226B"/>
    <w:multiLevelType w:val="multilevel"/>
    <w:tmpl w:val="36140CC8"/>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5">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6">
    <w:nsid w:val="696D3FE0"/>
    <w:multiLevelType w:val="hybridMultilevel"/>
    <w:tmpl w:val="7C6CAAC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7">
    <w:nsid w:val="6A2860C7"/>
    <w:multiLevelType w:val="hybridMultilevel"/>
    <w:tmpl w:val="20885020"/>
    <w:lvl w:ilvl="0" w:tplc="AF0E17F4">
      <w:start w:val="1"/>
      <w:numFmt w:val="bullet"/>
      <w:lvlText w:val=""/>
      <w:lvlJc w:val="left"/>
      <w:pPr>
        <w:ind w:left="1080" w:hanging="360"/>
      </w:pPr>
      <w:rPr>
        <w:rFonts w:ascii="Symbol" w:hAnsi="Symbol" w:hint="default"/>
      </w:rPr>
    </w:lvl>
    <w:lvl w:ilvl="1" w:tplc="6A2A24A6" w:tentative="1">
      <w:start w:val="1"/>
      <w:numFmt w:val="bullet"/>
      <w:lvlText w:val="o"/>
      <w:lvlJc w:val="left"/>
      <w:pPr>
        <w:ind w:left="1800" w:hanging="360"/>
      </w:pPr>
      <w:rPr>
        <w:rFonts w:ascii="Courier New" w:hAnsi="Courier New" w:cs="Courier New" w:hint="default"/>
      </w:rPr>
    </w:lvl>
    <w:lvl w:ilvl="2" w:tplc="3E88791C" w:tentative="1">
      <w:start w:val="1"/>
      <w:numFmt w:val="bullet"/>
      <w:lvlText w:val=""/>
      <w:lvlJc w:val="left"/>
      <w:pPr>
        <w:ind w:left="2520" w:hanging="360"/>
      </w:pPr>
      <w:rPr>
        <w:rFonts w:ascii="Wingdings" w:hAnsi="Wingdings" w:hint="default"/>
      </w:rPr>
    </w:lvl>
    <w:lvl w:ilvl="3" w:tplc="84A63EBA" w:tentative="1">
      <w:start w:val="1"/>
      <w:numFmt w:val="bullet"/>
      <w:lvlText w:val=""/>
      <w:lvlJc w:val="left"/>
      <w:pPr>
        <w:ind w:left="3240" w:hanging="360"/>
      </w:pPr>
      <w:rPr>
        <w:rFonts w:ascii="Symbol" w:hAnsi="Symbol" w:hint="default"/>
      </w:rPr>
    </w:lvl>
    <w:lvl w:ilvl="4" w:tplc="B242198C" w:tentative="1">
      <w:start w:val="1"/>
      <w:numFmt w:val="bullet"/>
      <w:lvlText w:val="o"/>
      <w:lvlJc w:val="left"/>
      <w:pPr>
        <w:ind w:left="3960" w:hanging="360"/>
      </w:pPr>
      <w:rPr>
        <w:rFonts w:ascii="Courier New" w:hAnsi="Courier New" w:cs="Courier New" w:hint="default"/>
      </w:rPr>
    </w:lvl>
    <w:lvl w:ilvl="5" w:tplc="6974176E" w:tentative="1">
      <w:start w:val="1"/>
      <w:numFmt w:val="bullet"/>
      <w:lvlText w:val=""/>
      <w:lvlJc w:val="left"/>
      <w:pPr>
        <w:ind w:left="4680" w:hanging="360"/>
      </w:pPr>
      <w:rPr>
        <w:rFonts w:ascii="Wingdings" w:hAnsi="Wingdings" w:hint="default"/>
      </w:rPr>
    </w:lvl>
    <w:lvl w:ilvl="6" w:tplc="478AF4D8" w:tentative="1">
      <w:start w:val="1"/>
      <w:numFmt w:val="bullet"/>
      <w:lvlText w:val=""/>
      <w:lvlJc w:val="left"/>
      <w:pPr>
        <w:ind w:left="5400" w:hanging="360"/>
      </w:pPr>
      <w:rPr>
        <w:rFonts w:ascii="Symbol" w:hAnsi="Symbol" w:hint="default"/>
      </w:rPr>
    </w:lvl>
    <w:lvl w:ilvl="7" w:tplc="8CB80CA2" w:tentative="1">
      <w:start w:val="1"/>
      <w:numFmt w:val="bullet"/>
      <w:lvlText w:val="o"/>
      <w:lvlJc w:val="left"/>
      <w:pPr>
        <w:ind w:left="6120" w:hanging="360"/>
      </w:pPr>
      <w:rPr>
        <w:rFonts w:ascii="Courier New" w:hAnsi="Courier New" w:cs="Courier New" w:hint="default"/>
      </w:rPr>
    </w:lvl>
    <w:lvl w:ilvl="8" w:tplc="FC389296" w:tentative="1">
      <w:start w:val="1"/>
      <w:numFmt w:val="bullet"/>
      <w:lvlText w:val=""/>
      <w:lvlJc w:val="left"/>
      <w:pPr>
        <w:ind w:left="6840" w:hanging="360"/>
      </w:pPr>
      <w:rPr>
        <w:rFonts w:ascii="Wingdings" w:hAnsi="Wingdings" w:hint="default"/>
      </w:rPr>
    </w:lvl>
  </w:abstractNum>
  <w:abstractNum w:abstractNumId="28">
    <w:nsid w:val="6BFE4A74"/>
    <w:multiLevelType w:val="hybridMultilevel"/>
    <w:tmpl w:val="F0D48F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AE21058"/>
    <w:multiLevelType w:val="multilevel"/>
    <w:tmpl w:val="6016B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9"/>
  </w:num>
  <w:num w:numId="3">
    <w:abstractNumId w:val="4"/>
  </w:num>
  <w:num w:numId="4">
    <w:abstractNumId w:val="14"/>
  </w:num>
  <w:num w:numId="5">
    <w:abstractNumId w:val="18"/>
  </w:num>
  <w:num w:numId="6">
    <w:abstractNumId w:val="22"/>
  </w:num>
  <w:num w:numId="7">
    <w:abstractNumId w:val="2"/>
  </w:num>
  <w:num w:numId="8">
    <w:abstractNumId w:val="1"/>
  </w:num>
  <w:num w:numId="9">
    <w:abstractNumId w:val="0"/>
  </w:num>
  <w:num w:numId="10">
    <w:abstractNumId w:val="27"/>
  </w:num>
  <w:num w:numId="11">
    <w:abstractNumId w:val="15"/>
  </w:num>
  <w:num w:numId="12">
    <w:abstractNumId w:val="12"/>
  </w:num>
  <w:num w:numId="13">
    <w:abstractNumId w:val="23"/>
    <w:lvlOverride w:ilvl="0">
      <w:lvl w:ilvl="0">
        <w:numFmt w:val="decimal"/>
        <w:lvlText w:val=""/>
        <w:lvlJc w:val="left"/>
      </w:lvl>
    </w:lvlOverride>
    <w:lvlOverride w:ilvl="1">
      <w:lvl w:ilvl="1">
        <w:start w:val="1"/>
        <w:numFmt w:val="decimal"/>
        <w:lvlText w:val="%1.%2."/>
        <w:lvlJc w:val="left"/>
        <w:pPr>
          <w:ind w:left="792" w:hanging="432"/>
        </w:pPr>
        <w:rPr>
          <w:sz w:val="24"/>
          <w:szCs w:val="24"/>
        </w:rPr>
      </w:lvl>
    </w:lvlOverride>
  </w:num>
  <w:num w:numId="14">
    <w:abstractNumId w:val="24"/>
  </w:num>
  <w:num w:numId="15">
    <w:abstractNumId w:val="19"/>
  </w:num>
  <w:num w:numId="16">
    <w:abstractNumId w:val="6"/>
  </w:num>
  <w:num w:numId="17">
    <w:abstractNumId w:val="5"/>
  </w:num>
  <w:num w:numId="18">
    <w:abstractNumId w:val="17"/>
  </w:num>
  <w:num w:numId="19">
    <w:abstractNumId w:val="3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13"/>
  </w:num>
  <w:num w:numId="24">
    <w:abstractNumId w:val="11"/>
  </w:num>
  <w:num w:numId="25">
    <w:abstractNumId w:val="20"/>
  </w:num>
  <w:num w:numId="26">
    <w:abstractNumId w:val="28"/>
  </w:num>
  <w:num w:numId="27">
    <w:abstractNumId w:val="3"/>
  </w:num>
  <w:num w:numId="28">
    <w:abstractNumId w:val="26"/>
  </w:num>
  <w:num w:numId="29">
    <w:abstractNumId w:val="21"/>
  </w:num>
  <w:num w:numId="30">
    <w:abstractNumId w:val="10"/>
  </w:num>
  <w:num w:numId="31">
    <w:abstractNumId w:val="8"/>
  </w:num>
  <w:num w:numId="32">
    <w:abstractNumId w:val="23"/>
  </w:num>
  <w:num w:numId="33">
    <w:abstractNumId w:val="7"/>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F4"/>
    <w:rsid w:val="000008E7"/>
    <w:rsid w:val="00001212"/>
    <w:rsid w:val="00001A39"/>
    <w:rsid w:val="00003889"/>
    <w:rsid w:val="00003AA8"/>
    <w:rsid w:val="00004546"/>
    <w:rsid w:val="00005349"/>
    <w:rsid w:val="00006656"/>
    <w:rsid w:val="00006BD1"/>
    <w:rsid w:val="000101D2"/>
    <w:rsid w:val="00010B85"/>
    <w:rsid w:val="00010E34"/>
    <w:rsid w:val="000128F6"/>
    <w:rsid w:val="00012D3B"/>
    <w:rsid w:val="00014477"/>
    <w:rsid w:val="00014F6D"/>
    <w:rsid w:val="0001648F"/>
    <w:rsid w:val="00017765"/>
    <w:rsid w:val="00017D90"/>
    <w:rsid w:val="00020245"/>
    <w:rsid w:val="00022E0F"/>
    <w:rsid w:val="00023AF8"/>
    <w:rsid w:val="000250FC"/>
    <w:rsid w:val="000266BC"/>
    <w:rsid w:val="000272A8"/>
    <w:rsid w:val="00027583"/>
    <w:rsid w:val="000300EB"/>
    <w:rsid w:val="0003048B"/>
    <w:rsid w:val="00031D81"/>
    <w:rsid w:val="0003384E"/>
    <w:rsid w:val="00034442"/>
    <w:rsid w:val="000348F8"/>
    <w:rsid w:val="000370AB"/>
    <w:rsid w:val="0003720F"/>
    <w:rsid w:val="00041935"/>
    <w:rsid w:val="00042F5C"/>
    <w:rsid w:val="00042F6B"/>
    <w:rsid w:val="00043B19"/>
    <w:rsid w:val="0004427B"/>
    <w:rsid w:val="00044CD7"/>
    <w:rsid w:val="00046506"/>
    <w:rsid w:val="000510FC"/>
    <w:rsid w:val="0005238F"/>
    <w:rsid w:val="00057A7E"/>
    <w:rsid w:val="000609EC"/>
    <w:rsid w:val="00061622"/>
    <w:rsid w:val="000617E6"/>
    <w:rsid w:val="00067D93"/>
    <w:rsid w:val="00070781"/>
    <w:rsid w:val="00070A6C"/>
    <w:rsid w:val="00071040"/>
    <w:rsid w:val="00072ABE"/>
    <w:rsid w:val="00072FFD"/>
    <w:rsid w:val="000739B4"/>
    <w:rsid w:val="0007465F"/>
    <w:rsid w:val="00074C28"/>
    <w:rsid w:val="00075852"/>
    <w:rsid w:val="00076C0C"/>
    <w:rsid w:val="00080F2B"/>
    <w:rsid w:val="0008159F"/>
    <w:rsid w:val="00081798"/>
    <w:rsid w:val="00082AB1"/>
    <w:rsid w:val="00082BE9"/>
    <w:rsid w:val="00084B3F"/>
    <w:rsid w:val="000852AB"/>
    <w:rsid w:val="00087025"/>
    <w:rsid w:val="000877BE"/>
    <w:rsid w:val="00087876"/>
    <w:rsid w:val="00090083"/>
    <w:rsid w:val="00093DFC"/>
    <w:rsid w:val="00095FD3"/>
    <w:rsid w:val="000960D2"/>
    <w:rsid w:val="00096596"/>
    <w:rsid w:val="00096B95"/>
    <w:rsid w:val="000972F0"/>
    <w:rsid w:val="00097EA8"/>
    <w:rsid w:val="000A0BD7"/>
    <w:rsid w:val="000A12D5"/>
    <w:rsid w:val="000A23FF"/>
    <w:rsid w:val="000A5BDE"/>
    <w:rsid w:val="000A5CAB"/>
    <w:rsid w:val="000A6706"/>
    <w:rsid w:val="000B0611"/>
    <w:rsid w:val="000B0C41"/>
    <w:rsid w:val="000B1E3A"/>
    <w:rsid w:val="000B24A6"/>
    <w:rsid w:val="000B4F4D"/>
    <w:rsid w:val="000C4337"/>
    <w:rsid w:val="000C4FB3"/>
    <w:rsid w:val="000C6551"/>
    <w:rsid w:val="000C7B4C"/>
    <w:rsid w:val="000D0EBE"/>
    <w:rsid w:val="000D1773"/>
    <w:rsid w:val="000D27DE"/>
    <w:rsid w:val="000D3A5B"/>
    <w:rsid w:val="000D46C6"/>
    <w:rsid w:val="000D569B"/>
    <w:rsid w:val="000D5DB8"/>
    <w:rsid w:val="000D6022"/>
    <w:rsid w:val="000D6977"/>
    <w:rsid w:val="000D717F"/>
    <w:rsid w:val="000D74A9"/>
    <w:rsid w:val="000D76F1"/>
    <w:rsid w:val="000D7B39"/>
    <w:rsid w:val="000E0973"/>
    <w:rsid w:val="000E0E1D"/>
    <w:rsid w:val="000E14BA"/>
    <w:rsid w:val="000E2EBD"/>
    <w:rsid w:val="000E3D5B"/>
    <w:rsid w:val="000E3F4A"/>
    <w:rsid w:val="000E742D"/>
    <w:rsid w:val="000E74E0"/>
    <w:rsid w:val="000F130F"/>
    <w:rsid w:val="000F1CB2"/>
    <w:rsid w:val="000F2C9C"/>
    <w:rsid w:val="000F2F53"/>
    <w:rsid w:val="000F501A"/>
    <w:rsid w:val="000F663F"/>
    <w:rsid w:val="000F68CB"/>
    <w:rsid w:val="000F7681"/>
    <w:rsid w:val="000F7DE4"/>
    <w:rsid w:val="001002DD"/>
    <w:rsid w:val="00102E28"/>
    <w:rsid w:val="00110547"/>
    <w:rsid w:val="00110C82"/>
    <w:rsid w:val="00111E77"/>
    <w:rsid w:val="00114826"/>
    <w:rsid w:val="00120172"/>
    <w:rsid w:val="001202D1"/>
    <w:rsid w:val="00121893"/>
    <w:rsid w:val="00122710"/>
    <w:rsid w:val="00124452"/>
    <w:rsid w:val="00124D31"/>
    <w:rsid w:val="0012511E"/>
    <w:rsid w:val="001279B0"/>
    <w:rsid w:val="0013103D"/>
    <w:rsid w:val="00131EFC"/>
    <w:rsid w:val="00131FBF"/>
    <w:rsid w:val="00132640"/>
    <w:rsid w:val="0013377A"/>
    <w:rsid w:val="00136D96"/>
    <w:rsid w:val="00137E1B"/>
    <w:rsid w:val="00140138"/>
    <w:rsid w:val="00142FE3"/>
    <w:rsid w:val="00143685"/>
    <w:rsid w:val="00144911"/>
    <w:rsid w:val="00145639"/>
    <w:rsid w:val="0014620C"/>
    <w:rsid w:val="00147210"/>
    <w:rsid w:val="0015163C"/>
    <w:rsid w:val="00151640"/>
    <w:rsid w:val="00151B74"/>
    <w:rsid w:val="00151B75"/>
    <w:rsid w:val="00152F71"/>
    <w:rsid w:val="00154014"/>
    <w:rsid w:val="00154DFC"/>
    <w:rsid w:val="00155C5E"/>
    <w:rsid w:val="00156953"/>
    <w:rsid w:val="00160295"/>
    <w:rsid w:val="00160C77"/>
    <w:rsid w:val="001621E4"/>
    <w:rsid w:val="001630C3"/>
    <w:rsid w:val="001631A5"/>
    <w:rsid w:val="001643B6"/>
    <w:rsid w:val="00164A45"/>
    <w:rsid w:val="001654FB"/>
    <w:rsid w:val="0016569A"/>
    <w:rsid w:val="00165A5D"/>
    <w:rsid w:val="00170377"/>
    <w:rsid w:val="00172029"/>
    <w:rsid w:val="00173E24"/>
    <w:rsid w:val="001754C3"/>
    <w:rsid w:val="00177509"/>
    <w:rsid w:val="00180522"/>
    <w:rsid w:val="00181E8A"/>
    <w:rsid w:val="00183B6F"/>
    <w:rsid w:val="00184018"/>
    <w:rsid w:val="00184A34"/>
    <w:rsid w:val="00185158"/>
    <w:rsid w:val="001865AC"/>
    <w:rsid w:val="00187926"/>
    <w:rsid w:val="00190119"/>
    <w:rsid w:val="001902BE"/>
    <w:rsid w:val="00190F4A"/>
    <w:rsid w:val="001918C3"/>
    <w:rsid w:val="00191D40"/>
    <w:rsid w:val="00194B80"/>
    <w:rsid w:val="0019512F"/>
    <w:rsid w:val="00196D73"/>
    <w:rsid w:val="00196E6C"/>
    <w:rsid w:val="001A05FE"/>
    <w:rsid w:val="001A117D"/>
    <w:rsid w:val="001A1BBB"/>
    <w:rsid w:val="001A22FF"/>
    <w:rsid w:val="001A4382"/>
    <w:rsid w:val="001A5101"/>
    <w:rsid w:val="001A5599"/>
    <w:rsid w:val="001A6940"/>
    <w:rsid w:val="001A7127"/>
    <w:rsid w:val="001A7E7F"/>
    <w:rsid w:val="001B0160"/>
    <w:rsid w:val="001B2684"/>
    <w:rsid w:val="001B41CF"/>
    <w:rsid w:val="001B4459"/>
    <w:rsid w:val="001B581D"/>
    <w:rsid w:val="001B6EEC"/>
    <w:rsid w:val="001B7530"/>
    <w:rsid w:val="001C1F17"/>
    <w:rsid w:val="001C2B4A"/>
    <w:rsid w:val="001C2C30"/>
    <w:rsid w:val="001C307C"/>
    <w:rsid w:val="001C310A"/>
    <w:rsid w:val="001C355D"/>
    <w:rsid w:val="001C698B"/>
    <w:rsid w:val="001C6BD9"/>
    <w:rsid w:val="001C70DA"/>
    <w:rsid w:val="001C70EC"/>
    <w:rsid w:val="001C78CF"/>
    <w:rsid w:val="001C7EF7"/>
    <w:rsid w:val="001D1808"/>
    <w:rsid w:val="001D27A2"/>
    <w:rsid w:val="001D2BAE"/>
    <w:rsid w:val="001D46E4"/>
    <w:rsid w:val="001D4F3B"/>
    <w:rsid w:val="001D5EF4"/>
    <w:rsid w:val="001E00DC"/>
    <w:rsid w:val="001E0139"/>
    <w:rsid w:val="001E073F"/>
    <w:rsid w:val="001E220E"/>
    <w:rsid w:val="001E39CF"/>
    <w:rsid w:val="001E4037"/>
    <w:rsid w:val="001E4634"/>
    <w:rsid w:val="001E47AA"/>
    <w:rsid w:val="001E4957"/>
    <w:rsid w:val="001E590B"/>
    <w:rsid w:val="001E5E84"/>
    <w:rsid w:val="001E6246"/>
    <w:rsid w:val="001E6B35"/>
    <w:rsid w:val="001E6BE0"/>
    <w:rsid w:val="001E6C95"/>
    <w:rsid w:val="001E7805"/>
    <w:rsid w:val="001E7A81"/>
    <w:rsid w:val="001F1132"/>
    <w:rsid w:val="001F34B3"/>
    <w:rsid w:val="001F35D5"/>
    <w:rsid w:val="001F36E6"/>
    <w:rsid w:val="001F47F7"/>
    <w:rsid w:val="001F4B91"/>
    <w:rsid w:val="001F57A2"/>
    <w:rsid w:val="001F6E07"/>
    <w:rsid w:val="00200C83"/>
    <w:rsid w:val="00202A83"/>
    <w:rsid w:val="002036F0"/>
    <w:rsid w:val="002042C2"/>
    <w:rsid w:val="00207CDA"/>
    <w:rsid w:val="00207E6B"/>
    <w:rsid w:val="00210493"/>
    <w:rsid w:val="00210CFE"/>
    <w:rsid w:val="002110A2"/>
    <w:rsid w:val="00214334"/>
    <w:rsid w:val="00214E1D"/>
    <w:rsid w:val="002170AF"/>
    <w:rsid w:val="00217A10"/>
    <w:rsid w:val="00217ED4"/>
    <w:rsid w:val="002208A3"/>
    <w:rsid w:val="0022206C"/>
    <w:rsid w:val="002248A6"/>
    <w:rsid w:val="0022599A"/>
    <w:rsid w:val="002276BC"/>
    <w:rsid w:val="00227790"/>
    <w:rsid w:val="00230096"/>
    <w:rsid w:val="0023046F"/>
    <w:rsid w:val="002312A1"/>
    <w:rsid w:val="0023199B"/>
    <w:rsid w:val="00232EFF"/>
    <w:rsid w:val="002404BB"/>
    <w:rsid w:val="00240635"/>
    <w:rsid w:val="002411C2"/>
    <w:rsid w:val="00241A04"/>
    <w:rsid w:val="00241AAB"/>
    <w:rsid w:val="00241BC1"/>
    <w:rsid w:val="00242455"/>
    <w:rsid w:val="00242A8A"/>
    <w:rsid w:val="00243380"/>
    <w:rsid w:val="002445B8"/>
    <w:rsid w:val="002446DA"/>
    <w:rsid w:val="00246100"/>
    <w:rsid w:val="002464E4"/>
    <w:rsid w:val="00246B09"/>
    <w:rsid w:val="002470BA"/>
    <w:rsid w:val="00247CDE"/>
    <w:rsid w:val="00250114"/>
    <w:rsid w:val="002510AD"/>
    <w:rsid w:val="0025231C"/>
    <w:rsid w:val="00260AAF"/>
    <w:rsid w:val="00262B20"/>
    <w:rsid w:val="00264B5B"/>
    <w:rsid w:val="00266156"/>
    <w:rsid w:val="002703AB"/>
    <w:rsid w:val="0027123C"/>
    <w:rsid w:val="002717A7"/>
    <w:rsid w:val="00274CFD"/>
    <w:rsid w:val="00276955"/>
    <w:rsid w:val="00276E91"/>
    <w:rsid w:val="002804C3"/>
    <w:rsid w:val="002817E8"/>
    <w:rsid w:val="00283081"/>
    <w:rsid w:val="002831B9"/>
    <w:rsid w:val="002839A4"/>
    <w:rsid w:val="00283EC0"/>
    <w:rsid w:val="0029150C"/>
    <w:rsid w:val="00291943"/>
    <w:rsid w:val="00292089"/>
    <w:rsid w:val="00293CD2"/>
    <w:rsid w:val="002945DA"/>
    <w:rsid w:val="00297967"/>
    <w:rsid w:val="00297D2C"/>
    <w:rsid w:val="002A1B33"/>
    <w:rsid w:val="002A4256"/>
    <w:rsid w:val="002A7321"/>
    <w:rsid w:val="002B0D0B"/>
    <w:rsid w:val="002B2093"/>
    <w:rsid w:val="002B48D3"/>
    <w:rsid w:val="002B69F4"/>
    <w:rsid w:val="002C074A"/>
    <w:rsid w:val="002C214B"/>
    <w:rsid w:val="002C259E"/>
    <w:rsid w:val="002C2F6E"/>
    <w:rsid w:val="002C3AC8"/>
    <w:rsid w:val="002C4A46"/>
    <w:rsid w:val="002C59D4"/>
    <w:rsid w:val="002D38BF"/>
    <w:rsid w:val="002D40E1"/>
    <w:rsid w:val="002D7726"/>
    <w:rsid w:val="002D79E8"/>
    <w:rsid w:val="002E0455"/>
    <w:rsid w:val="002E1647"/>
    <w:rsid w:val="002E325C"/>
    <w:rsid w:val="002E3679"/>
    <w:rsid w:val="002E566A"/>
    <w:rsid w:val="002E7F20"/>
    <w:rsid w:val="002F02FC"/>
    <w:rsid w:val="002F2DEE"/>
    <w:rsid w:val="002F2FD2"/>
    <w:rsid w:val="002F31B0"/>
    <w:rsid w:val="002F3D46"/>
    <w:rsid w:val="002F5749"/>
    <w:rsid w:val="00300A1D"/>
    <w:rsid w:val="00302676"/>
    <w:rsid w:val="0030411A"/>
    <w:rsid w:val="00304352"/>
    <w:rsid w:val="00311468"/>
    <w:rsid w:val="00312616"/>
    <w:rsid w:val="00312FA3"/>
    <w:rsid w:val="0031780B"/>
    <w:rsid w:val="00317CDF"/>
    <w:rsid w:val="00323DDE"/>
    <w:rsid w:val="00326771"/>
    <w:rsid w:val="0033054F"/>
    <w:rsid w:val="00332623"/>
    <w:rsid w:val="003340BF"/>
    <w:rsid w:val="003360FE"/>
    <w:rsid w:val="00336EB2"/>
    <w:rsid w:val="003373A3"/>
    <w:rsid w:val="0034165E"/>
    <w:rsid w:val="0034240D"/>
    <w:rsid w:val="003428B1"/>
    <w:rsid w:val="003458E9"/>
    <w:rsid w:val="00345CF7"/>
    <w:rsid w:val="00346507"/>
    <w:rsid w:val="00347B27"/>
    <w:rsid w:val="0035055E"/>
    <w:rsid w:val="0035177A"/>
    <w:rsid w:val="00352874"/>
    <w:rsid w:val="003533E0"/>
    <w:rsid w:val="003551EC"/>
    <w:rsid w:val="00355B19"/>
    <w:rsid w:val="0035684F"/>
    <w:rsid w:val="00360202"/>
    <w:rsid w:val="00360D55"/>
    <w:rsid w:val="003637AA"/>
    <w:rsid w:val="003648FF"/>
    <w:rsid w:val="00366727"/>
    <w:rsid w:val="00367157"/>
    <w:rsid w:val="00367FB5"/>
    <w:rsid w:val="00370CB1"/>
    <w:rsid w:val="00371557"/>
    <w:rsid w:val="00372CE9"/>
    <w:rsid w:val="003779CF"/>
    <w:rsid w:val="00380364"/>
    <w:rsid w:val="00380C67"/>
    <w:rsid w:val="00383306"/>
    <w:rsid w:val="00383BD5"/>
    <w:rsid w:val="00383D05"/>
    <w:rsid w:val="00384074"/>
    <w:rsid w:val="003849C9"/>
    <w:rsid w:val="00386364"/>
    <w:rsid w:val="00387F22"/>
    <w:rsid w:val="00393E86"/>
    <w:rsid w:val="003A08F4"/>
    <w:rsid w:val="003A0F49"/>
    <w:rsid w:val="003A20DC"/>
    <w:rsid w:val="003A2704"/>
    <w:rsid w:val="003A649B"/>
    <w:rsid w:val="003A6DE7"/>
    <w:rsid w:val="003A7737"/>
    <w:rsid w:val="003A7BD7"/>
    <w:rsid w:val="003B056A"/>
    <w:rsid w:val="003B1A2A"/>
    <w:rsid w:val="003B2294"/>
    <w:rsid w:val="003B41DB"/>
    <w:rsid w:val="003B44A3"/>
    <w:rsid w:val="003B7BC3"/>
    <w:rsid w:val="003C0117"/>
    <w:rsid w:val="003C10BB"/>
    <w:rsid w:val="003C1467"/>
    <w:rsid w:val="003C36B7"/>
    <w:rsid w:val="003C36CC"/>
    <w:rsid w:val="003C4402"/>
    <w:rsid w:val="003C5C89"/>
    <w:rsid w:val="003C5CE8"/>
    <w:rsid w:val="003C6470"/>
    <w:rsid w:val="003C6677"/>
    <w:rsid w:val="003C764E"/>
    <w:rsid w:val="003C792F"/>
    <w:rsid w:val="003D0237"/>
    <w:rsid w:val="003D2231"/>
    <w:rsid w:val="003D3AA3"/>
    <w:rsid w:val="003D4360"/>
    <w:rsid w:val="003D4CAD"/>
    <w:rsid w:val="003D50A4"/>
    <w:rsid w:val="003D6330"/>
    <w:rsid w:val="003D7108"/>
    <w:rsid w:val="003E044D"/>
    <w:rsid w:val="003E1651"/>
    <w:rsid w:val="003E3DC5"/>
    <w:rsid w:val="003E4B4F"/>
    <w:rsid w:val="003E61BE"/>
    <w:rsid w:val="003F0EFC"/>
    <w:rsid w:val="003F1E89"/>
    <w:rsid w:val="003F2316"/>
    <w:rsid w:val="003F30A1"/>
    <w:rsid w:val="003F32D6"/>
    <w:rsid w:val="003F439C"/>
    <w:rsid w:val="003F5759"/>
    <w:rsid w:val="003F76E4"/>
    <w:rsid w:val="003F7DAB"/>
    <w:rsid w:val="0040323B"/>
    <w:rsid w:val="00403616"/>
    <w:rsid w:val="00404FA9"/>
    <w:rsid w:val="0040692D"/>
    <w:rsid w:val="00412A5C"/>
    <w:rsid w:val="00412D7E"/>
    <w:rsid w:val="0041326B"/>
    <w:rsid w:val="00414700"/>
    <w:rsid w:val="00414763"/>
    <w:rsid w:val="00416E39"/>
    <w:rsid w:val="0041706F"/>
    <w:rsid w:val="00417825"/>
    <w:rsid w:val="0042458C"/>
    <w:rsid w:val="004247A0"/>
    <w:rsid w:val="0042488C"/>
    <w:rsid w:val="00424DC7"/>
    <w:rsid w:val="004251E0"/>
    <w:rsid w:val="004258A8"/>
    <w:rsid w:val="00427211"/>
    <w:rsid w:val="004304E2"/>
    <w:rsid w:val="004324F9"/>
    <w:rsid w:val="004334CA"/>
    <w:rsid w:val="004337E7"/>
    <w:rsid w:val="00433CA1"/>
    <w:rsid w:val="0044208A"/>
    <w:rsid w:val="0044258A"/>
    <w:rsid w:val="00444D52"/>
    <w:rsid w:val="00446CBC"/>
    <w:rsid w:val="004476D7"/>
    <w:rsid w:val="004507A4"/>
    <w:rsid w:val="00454CE3"/>
    <w:rsid w:val="0045623A"/>
    <w:rsid w:val="00456D3B"/>
    <w:rsid w:val="004577C4"/>
    <w:rsid w:val="00457FA2"/>
    <w:rsid w:val="00460129"/>
    <w:rsid w:val="00460B09"/>
    <w:rsid w:val="004630BC"/>
    <w:rsid w:val="004638EF"/>
    <w:rsid w:val="004640C2"/>
    <w:rsid w:val="00464225"/>
    <w:rsid w:val="00465916"/>
    <w:rsid w:val="00466422"/>
    <w:rsid w:val="0046690B"/>
    <w:rsid w:val="00466FD5"/>
    <w:rsid w:val="00467580"/>
    <w:rsid w:val="0046796B"/>
    <w:rsid w:val="004702AB"/>
    <w:rsid w:val="0047194C"/>
    <w:rsid w:val="00472264"/>
    <w:rsid w:val="00472851"/>
    <w:rsid w:val="00473A33"/>
    <w:rsid w:val="00476408"/>
    <w:rsid w:val="0047643B"/>
    <w:rsid w:val="004774A4"/>
    <w:rsid w:val="00477E67"/>
    <w:rsid w:val="0048081B"/>
    <w:rsid w:val="00481318"/>
    <w:rsid w:val="004815EB"/>
    <w:rsid w:val="004817DB"/>
    <w:rsid w:val="004875AF"/>
    <w:rsid w:val="00490027"/>
    <w:rsid w:val="00490AB9"/>
    <w:rsid w:val="00490EEE"/>
    <w:rsid w:val="00491903"/>
    <w:rsid w:val="004938C3"/>
    <w:rsid w:val="00493B75"/>
    <w:rsid w:val="00493D58"/>
    <w:rsid w:val="00494714"/>
    <w:rsid w:val="004973BF"/>
    <w:rsid w:val="004A20C6"/>
    <w:rsid w:val="004A2787"/>
    <w:rsid w:val="004A69AB"/>
    <w:rsid w:val="004A75BC"/>
    <w:rsid w:val="004B00AF"/>
    <w:rsid w:val="004B2630"/>
    <w:rsid w:val="004B4A28"/>
    <w:rsid w:val="004B5CE6"/>
    <w:rsid w:val="004B5D33"/>
    <w:rsid w:val="004B5ED9"/>
    <w:rsid w:val="004C15CE"/>
    <w:rsid w:val="004C16DD"/>
    <w:rsid w:val="004C25AE"/>
    <w:rsid w:val="004C2E6D"/>
    <w:rsid w:val="004C2F37"/>
    <w:rsid w:val="004C324E"/>
    <w:rsid w:val="004C6B44"/>
    <w:rsid w:val="004C6F28"/>
    <w:rsid w:val="004C7478"/>
    <w:rsid w:val="004C798B"/>
    <w:rsid w:val="004D1053"/>
    <w:rsid w:val="004D2EB7"/>
    <w:rsid w:val="004D4D05"/>
    <w:rsid w:val="004D5556"/>
    <w:rsid w:val="004D662B"/>
    <w:rsid w:val="004D67B2"/>
    <w:rsid w:val="004D6ED2"/>
    <w:rsid w:val="004E0D9B"/>
    <w:rsid w:val="004E0F82"/>
    <w:rsid w:val="004E2492"/>
    <w:rsid w:val="004E2881"/>
    <w:rsid w:val="004E5E92"/>
    <w:rsid w:val="004E6C3F"/>
    <w:rsid w:val="004E769A"/>
    <w:rsid w:val="004E78D7"/>
    <w:rsid w:val="004F2931"/>
    <w:rsid w:val="004F4835"/>
    <w:rsid w:val="004F556E"/>
    <w:rsid w:val="004F7305"/>
    <w:rsid w:val="004F73F2"/>
    <w:rsid w:val="004F7519"/>
    <w:rsid w:val="00501897"/>
    <w:rsid w:val="00502177"/>
    <w:rsid w:val="0050258F"/>
    <w:rsid w:val="00503F6E"/>
    <w:rsid w:val="00506AB9"/>
    <w:rsid w:val="00510472"/>
    <w:rsid w:val="00512D4E"/>
    <w:rsid w:val="00514138"/>
    <w:rsid w:val="005151F1"/>
    <w:rsid w:val="00515966"/>
    <w:rsid w:val="00515D0B"/>
    <w:rsid w:val="0051605D"/>
    <w:rsid w:val="00517070"/>
    <w:rsid w:val="00517DBB"/>
    <w:rsid w:val="00522EFC"/>
    <w:rsid w:val="00524654"/>
    <w:rsid w:val="00524926"/>
    <w:rsid w:val="00524F6D"/>
    <w:rsid w:val="005326EC"/>
    <w:rsid w:val="00532BB3"/>
    <w:rsid w:val="00532F2C"/>
    <w:rsid w:val="005351BA"/>
    <w:rsid w:val="00537166"/>
    <w:rsid w:val="00537683"/>
    <w:rsid w:val="00546151"/>
    <w:rsid w:val="005472E9"/>
    <w:rsid w:val="005518D6"/>
    <w:rsid w:val="00551A78"/>
    <w:rsid w:val="00552E58"/>
    <w:rsid w:val="00553CBE"/>
    <w:rsid w:val="00555CE9"/>
    <w:rsid w:val="005579A5"/>
    <w:rsid w:val="00562EBD"/>
    <w:rsid w:val="005647FA"/>
    <w:rsid w:val="00567B1D"/>
    <w:rsid w:val="00567DAD"/>
    <w:rsid w:val="00571494"/>
    <w:rsid w:val="00573198"/>
    <w:rsid w:val="00573E62"/>
    <w:rsid w:val="005745BE"/>
    <w:rsid w:val="005750A2"/>
    <w:rsid w:val="005755A3"/>
    <w:rsid w:val="00576074"/>
    <w:rsid w:val="0057662A"/>
    <w:rsid w:val="00576F3E"/>
    <w:rsid w:val="005778A2"/>
    <w:rsid w:val="00580673"/>
    <w:rsid w:val="00580E2E"/>
    <w:rsid w:val="00581049"/>
    <w:rsid w:val="0058128E"/>
    <w:rsid w:val="00582D26"/>
    <w:rsid w:val="00582E74"/>
    <w:rsid w:val="005849E8"/>
    <w:rsid w:val="00587190"/>
    <w:rsid w:val="005871F4"/>
    <w:rsid w:val="0058750E"/>
    <w:rsid w:val="00587E46"/>
    <w:rsid w:val="005905FF"/>
    <w:rsid w:val="00590F10"/>
    <w:rsid w:val="005913D7"/>
    <w:rsid w:val="00591D90"/>
    <w:rsid w:val="005920BD"/>
    <w:rsid w:val="005920D4"/>
    <w:rsid w:val="00592137"/>
    <w:rsid w:val="0059355E"/>
    <w:rsid w:val="00595CE5"/>
    <w:rsid w:val="005961BA"/>
    <w:rsid w:val="00597329"/>
    <w:rsid w:val="00597371"/>
    <w:rsid w:val="005A0097"/>
    <w:rsid w:val="005A2342"/>
    <w:rsid w:val="005A296E"/>
    <w:rsid w:val="005A553D"/>
    <w:rsid w:val="005A5994"/>
    <w:rsid w:val="005B1819"/>
    <w:rsid w:val="005B1D74"/>
    <w:rsid w:val="005B25C3"/>
    <w:rsid w:val="005B37F5"/>
    <w:rsid w:val="005B478E"/>
    <w:rsid w:val="005B7270"/>
    <w:rsid w:val="005C2205"/>
    <w:rsid w:val="005C4017"/>
    <w:rsid w:val="005C4813"/>
    <w:rsid w:val="005C6288"/>
    <w:rsid w:val="005D19F6"/>
    <w:rsid w:val="005D26E4"/>
    <w:rsid w:val="005D36A7"/>
    <w:rsid w:val="005D599B"/>
    <w:rsid w:val="005D6FBF"/>
    <w:rsid w:val="005E009C"/>
    <w:rsid w:val="005E049D"/>
    <w:rsid w:val="005E1982"/>
    <w:rsid w:val="005E1DBC"/>
    <w:rsid w:val="005E314C"/>
    <w:rsid w:val="005E326D"/>
    <w:rsid w:val="005E507A"/>
    <w:rsid w:val="005E7715"/>
    <w:rsid w:val="005F0605"/>
    <w:rsid w:val="005F0D4B"/>
    <w:rsid w:val="005F173F"/>
    <w:rsid w:val="005F2458"/>
    <w:rsid w:val="005F37FB"/>
    <w:rsid w:val="005F3C92"/>
    <w:rsid w:val="005F481C"/>
    <w:rsid w:val="005F4866"/>
    <w:rsid w:val="005F525B"/>
    <w:rsid w:val="005F5C19"/>
    <w:rsid w:val="005F6D71"/>
    <w:rsid w:val="005F74CE"/>
    <w:rsid w:val="005F7C75"/>
    <w:rsid w:val="005F7CF4"/>
    <w:rsid w:val="00600147"/>
    <w:rsid w:val="0060063C"/>
    <w:rsid w:val="0060482C"/>
    <w:rsid w:val="0060662D"/>
    <w:rsid w:val="0060684F"/>
    <w:rsid w:val="00606F42"/>
    <w:rsid w:val="00606F87"/>
    <w:rsid w:val="00610296"/>
    <w:rsid w:val="00611A7C"/>
    <w:rsid w:val="00614024"/>
    <w:rsid w:val="00614B24"/>
    <w:rsid w:val="00614C43"/>
    <w:rsid w:val="00615A03"/>
    <w:rsid w:val="00615C94"/>
    <w:rsid w:val="00617B4B"/>
    <w:rsid w:val="00621D20"/>
    <w:rsid w:val="00622EC8"/>
    <w:rsid w:val="00623317"/>
    <w:rsid w:val="00624AE4"/>
    <w:rsid w:val="00626139"/>
    <w:rsid w:val="00630384"/>
    <w:rsid w:val="00630487"/>
    <w:rsid w:val="006318DB"/>
    <w:rsid w:val="006322F6"/>
    <w:rsid w:val="006336A6"/>
    <w:rsid w:val="00634C53"/>
    <w:rsid w:val="00636966"/>
    <w:rsid w:val="00636EC9"/>
    <w:rsid w:val="0063787C"/>
    <w:rsid w:val="00640BD8"/>
    <w:rsid w:val="00640C06"/>
    <w:rsid w:val="006412FF"/>
    <w:rsid w:val="006427C8"/>
    <w:rsid w:val="00642F55"/>
    <w:rsid w:val="00643511"/>
    <w:rsid w:val="0064471C"/>
    <w:rsid w:val="00645CD1"/>
    <w:rsid w:val="00645E0D"/>
    <w:rsid w:val="00646D09"/>
    <w:rsid w:val="0065100D"/>
    <w:rsid w:val="006526D2"/>
    <w:rsid w:val="00653B83"/>
    <w:rsid w:val="00654954"/>
    <w:rsid w:val="00655897"/>
    <w:rsid w:val="006568F8"/>
    <w:rsid w:val="006611F5"/>
    <w:rsid w:val="006617F3"/>
    <w:rsid w:val="00664708"/>
    <w:rsid w:val="00665116"/>
    <w:rsid w:val="0066520C"/>
    <w:rsid w:val="006653D3"/>
    <w:rsid w:val="00665A33"/>
    <w:rsid w:val="006667BB"/>
    <w:rsid w:val="00666BE9"/>
    <w:rsid w:val="00673DB2"/>
    <w:rsid w:val="00674790"/>
    <w:rsid w:val="0067770E"/>
    <w:rsid w:val="00677F12"/>
    <w:rsid w:val="006808C0"/>
    <w:rsid w:val="006808DA"/>
    <w:rsid w:val="006831A9"/>
    <w:rsid w:val="00684C8B"/>
    <w:rsid w:val="00685611"/>
    <w:rsid w:val="00685A0A"/>
    <w:rsid w:val="00686250"/>
    <w:rsid w:val="006865ED"/>
    <w:rsid w:val="00687919"/>
    <w:rsid w:val="00687DE8"/>
    <w:rsid w:val="0069276B"/>
    <w:rsid w:val="0069367F"/>
    <w:rsid w:val="0069491D"/>
    <w:rsid w:val="00695D03"/>
    <w:rsid w:val="006965C1"/>
    <w:rsid w:val="006A02A7"/>
    <w:rsid w:val="006A13C6"/>
    <w:rsid w:val="006A58E7"/>
    <w:rsid w:val="006A66EE"/>
    <w:rsid w:val="006A7D03"/>
    <w:rsid w:val="006B077B"/>
    <w:rsid w:val="006B3BBA"/>
    <w:rsid w:val="006B4561"/>
    <w:rsid w:val="006B55D0"/>
    <w:rsid w:val="006B6E74"/>
    <w:rsid w:val="006B7914"/>
    <w:rsid w:val="006C1798"/>
    <w:rsid w:val="006C1885"/>
    <w:rsid w:val="006C2488"/>
    <w:rsid w:val="006C2601"/>
    <w:rsid w:val="006C2706"/>
    <w:rsid w:val="006C5310"/>
    <w:rsid w:val="006C54D0"/>
    <w:rsid w:val="006C6679"/>
    <w:rsid w:val="006C69F3"/>
    <w:rsid w:val="006C6F81"/>
    <w:rsid w:val="006C7B7C"/>
    <w:rsid w:val="006D193F"/>
    <w:rsid w:val="006D2256"/>
    <w:rsid w:val="006D45A7"/>
    <w:rsid w:val="006D4BB7"/>
    <w:rsid w:val="006D55DC"/>
    <w:rsid w:val="006D56B4"/>
    <w:rsid w:val="006D5C01"/>
    <w:rsid w:val="006D7103"/>
    <w:rsid w:val="006E052E"/>
    <w:rsid w:val="006E0EFB"/>
    <w:rsid w:val="006E27FE"/>
    <w:rsid w:val="006E2B0B"/>
    <w:rsid w:val="006E35FF"/>
    <w:rsid w:val="006E6D2A"/>
    <w:rsid w:val="006E7314"/>
    <w:rsid w:val="006E7CF4"/>
    <w:rsid w:val="006F094D"/>
    <w:rsid w:val="006F2163"/>
    <w:rsid w:val="006F25C3"/>
    <w:rsid w:val="006F46F5"/>
    <w:rsid w:val="006F4AEA"/>
    <w:rsid w:val="006F4F3C"/>
    <w:rsid w:val="006F56FB"/>
    <w:rsid w:val="007021B4"/>
    <w:rsid w:val="00702E48"/>
    <w:rsid w:val="00703A3F"/>
    <w:rsid w:val="00705B82"/>
    <w:rsid w:val="007106B1"/>
    <w:rsid w:val="00712C14"/>
    <w:rsid w:val="00713C2B"/>
    <w:rsid w:val="0071694C"/>
    <w:rsid w:val="00724553"/>
    <w:rsid w:val="007264A6"/>
    <w:rsid w:val="00726BBB"/>
    <w:rsid w:val="00726F73"/>
    <w:rsid w:val="0072785E"/>
    <w:rsid w:val="007306CB"/>
    <w:rsid w:val="007318DA"/>
    <w:rsid w:val="007328A5"/>
    <w:rsid w:val="007333CA"/>
    <w:rsid w:val="00735320"/>
    <w:rsid w:val="007374A0"/>
    <w:rsid w:val="0074049F"/>
    <w:rsid w:val="00740C08"/>
    <w:rsid w:val="00740F86"/>
    <w:rsid w:val="00741CE3"/>
    <w:rsid w:val="00742226"/>
    <w:rsid w:val="00742880"/>
    <w:rsid w:val="00743885"/>
    <w:rsid w:val="00743F49"/>
    <w:rsid w:val="00746CB9"/>
    <w:rsid w:val="0074730A"/>
    <w:rsid w:val="00747B41"/>
    <w:rsid w:val="00753D85"/>
    <w:rsid w:val="00754F26"/>
    <w:rsid w:val="00755ED2"/>
    <w:rsid w:val="00757642"/>
    <w:rsid w:val="007576CD"/>
    <w:rsid w:val="007620FF"/>
    <w:rsid w:val="00762CA7"/>
    <w:rsid w:val="00764FDD"/>
    <w:rsid w:val="0076625E"/>
    <w:rsid w:val="007674DE"/>
    <w:rsid w:val="007709A8"/>
    <w:rsid w:val="00774627"/>
    <w:rsid w:val="00774C63"/>
    <w:rsid w:val="00775AD8"/>
    <w:rsid w:val="00775C5C"/>
    <w:rsid w:val="007801C9"/>
    <w:rsid w:val="00781C97"/>
    <w:rsid w:val="00781E3B"/>
    <w:rsid w:val="007820B8"/>
    <w:rsid w:val="00782242"/>
    <w:rsid w:val="00785072"/>
    <w:rsid w:val="0078537B"/>
    <w:rsid w:val="00785860"/>
    <w:rsid w:val="007865BD"/>
    <w:rsid w:val="007867FC"/>
    <w:rsid w:val="00787226"/>
    <w:rsid w:val="00787438"/>
    <w:rsid w:val="00787814"/>
    <w:rsid w:val="00790E72"/>
    <w:rsid w:val="007915BE"/>
    <w:rsid w:val="0079171A"/>
    <w:rsid w:val="00795E5F"/>
    <w:rsid w:val="00796805"/>
    <w:rsid w:val="00796E93"/>
    <w:rsid w:val="00797489"/>
    <w:rsid w:val="00797DF1"/>
    <w:rsid w:val="00797E2E"/>
    <w:rsid w:val="007A03F5"/>
    <w:rsid w:val="007A10BF"/>
    <w:rsid w:val="007A10E8"/>
    <w:rsid w:val="007A118F"/>
    <w:rsid w:val="007A4D3A"/>
    <w:rsid w:val="007A5BF4"/>
    <w:rsid w:val="007A7077"/>
    <w:rsid w:val="007A7E51"/>
    <w:rsid w:val="007B1132"/>
    <w:rsid w:val="007B1E24"/>
    <w:rsid w:val="007B2166"/>
    <w:rsid w:val="007B3D3E"/>
    <w:rsid w:val="007B3D7E"/>
    <w:rsid w:val="007B6CDD"/>
    <w:rsid w:val="007B73B9"/>
    <w:rsid w:val="007B7E14"/>
    <w:rsid w:val="007C0EE8"/>
    <w:rsid w:val="007C12BE"/>
    <w:rsid w:val="007C26B9"/>
    <w:rsid w:val="007C34BA"/>
    <w:rsid w:val="007C44D0"/>
    <w:rsid w:val="007C4DCC"/>
    <w:rsid w:val="007C7C19"/>
    <w:rsid w:val="007D0ED9"/>
    <w:rsid w:val="007D11E3"/>
    <w:rsid w:val="007D13CA"/>
    <w:rsid w:val="007D2FBD"/>
    <w:rsid w:val="007D4933"/>
    <w:rsid w:val="007E1286"/>
    <w:rsid w:val="007E1DC3"/>
    <w:rsid w:val="007E60E5"/>
    <w:rsid w:val="007F05C3"/>
    <w:rsid w:val="007F26FB"/>
    <w:rsid w:val="007F27B0"/>
    <w:rsid w:val="007F54AD"/>
    <w:rsid w:val="007F565D"/>
    <w:rsid w:val="007F6269"/>
    <w:rsid w:val="007F65E0"/>
    <w:rsid w:val="007F6656"/>
    <w:rsid w:val="007F6841"/>
    <w:rsid w:val="007F77B1"/>
    <w:rsid w:val="007F783E"/>
    <w:rsid w:val="00800BD5"/>
    <w:rsid w:val="00803B2A"/>
    <w:rsid w:val="0080461D"/>
    <w:rsid w:val="00806279"/>
    <w:rsid w:val="00806844"/>
    <w:rsid w:val="0080693C"/>
    <w:rsid w:val="00812F97"/>
    <w:rsid w:val="00813589"/>
    <w:rsid w:val="00816BAA"/>
    <w:rsid w:val="00816D49"/>
    <w:rsid w:val="0081728D"/>
    <w:rsid w:val="008178EB"/>
    <w:rsid w:val="008216AF"/>
    <w:rsid w:val="00822AA2"/>
    <w:rsid w:val="008257B2"/>
    <w:rsid w:val="008279A7"/>
    <w:rsid w:val="00827EB7"/>
    <w:rsid w:val="00830108"/>
    <w:rsid w:val="00830C7C"/>
    <w:rsid w:val="0083240E"/>
    <w:rsid w:val="0083569D"/>
    <w:rsid w:val="00836ECD"/>
    <w:rsid w:val="008403BF"/>
    <w:rsid w:val="00840DDC"/>
    <w:rsid w:val="00845524"/>
    <w:rsid w:val="00845BB3"/>
    <w:rsid w:val="008462DC"/>
    <w:rsid w:val="008473B0"/>
    <w:rsid w:val="00847786"/>
    <w:rsid w:val="00850229"/>
    <w:rsid w:val="00851E1E"/>
    <w:rsid w:val="00853FDF"/>
    <w:rsid w:val="00854529"/>
    <w:rsid w:val="008556B0"/>
    <w:rsid w:val="00855998"/>
    <w:rsid w:val="00856E2E"/>
    <w:rsid w:val="00857707"/>
    <w:rsid w:val="00857C46"/>
    <w:rsid w:val="0086175B"/>
    <w:rsid w:val="008673E2"/>
    <w:rsid w:val="00870450"/>
    <w:rsid w:val="0087056B"/>
    <w:rsid w:val="00871B42"/>
    <w:rsid w:val="008743C7"/>
    <w:rsid w:val="008745B8"/>
    <w:rsid w:val="00874DD5"/>
    <w:rsid w:val="008822AA"/>
    <w:rsid w:val="00887D3E"/>
    <w:rsid w:val="0089454B"/>
    <w:rsid w:val="008957DA"/>
    <w:rsid w:val="00896F99"/>
    <w:rsid w:val="008A0D84"/>
    <w:rsid w:val="008A1726"/>
    <w:rsid w:val="008A2ED3"/>
    <w:rsid w:val="008A3262"/>
    <w:rsid w:val="008A4BA8"/>
    <w:rsid w:val="008A5011"/>
    <w:rsid w:val="008B19F0"/>
    <w:rsid w:val="008B2710"/>
    <w:rsid w:val="008B28DC"/>
    <w:rsid w:val="008B2A17"/>
    <w:rsid w:val="008B2E56"/>
    <w:rsid w:val="008B2F7E"/>
    <w:rsid w:val="008B3E6E"/>
    <w:rsid w:val="008B3E9F"/>
    <w:rsid w:val="008B3FF4"/>
    <w:rsid w:val="008B57E5"/>
    <w:rsid w:val="008B58E2"/>
    <w:rsid w:val="008C28B7"/>
    <w:rsid w:val="008C2D0B"/>
    <w:rsid w:val="008C2DE5"/>
    <w:rsid w:val="008C43EE"/>
    <w:rsid w:val="008C4B49"/>
    <w:rsid w:val="008C4D1A"/>
    <w:rsid w:val="008C6C23"/>
    <w:rsid w:val="008D34C1"/>
    <w:rsid w:val="008D5187"/>
    <w:rsid w:val="008D69B9"/>
    <w:rsid w:val="008E070E"/>
    <w:rsid w:val="008E1F89"/>
    <w:rsid w:val="008E39B6"/>
    <w:rsid w:val="008E401A"/>
    <w:rsid w:val="008E42C5"/>
    <w:rsid w:val="008F1346"/>
    <w:rsid w:val="008F37CB"/>
    <w:rsid w:val="008F572B"/>
    <w:rsid w:val="008F76B3"/>
    <w:rsid w:val="008F7DAC"/>
    <w:rsid w:val="00900074"/>
    <w:rsid w:val="00902453"/>
    <w:rsid w:val="00902875"/>
    <w:rsid w:val="00903230"/>
    <w:rsid w:val="009041B8"/>
    <w:rsid w:val="009044B3"/>
    <w:rsid w:val="00905127"/>
    <w:rsid w:val="0090545A"/>
    <w:rsid w:val="00905669"/>
    <w:rsid w:val="00905CEE"/>
    <w:rsid w:val="00905FCB"/>
    <w:rsid w:val="00906167"/>
    <w:rsid w:val="009104D0"/>
    <w:rsid w:val="00910E53"/>
    <w:rsid w:val="00912283"/>
    <w:rsid w:val="00914663"/>
    <w:rsid w:val="00922A5A"/>
    <w:rsid w:val="0092373B"/>
    <w:rsid w:val="0092420F"/>
    <w:rsid w:val="009248DD"/>
    <w:rsid w:val="00927BF2"/>
    <w:rsid w:val="00927C55"/>
    <w:rsid w:val="009309E2"/>
    <w:rsid w:val="00930C4F"/>
    <w:rsid w:val="009327E9"/>
    <w:rsid w:val="009350F9"/>
    <w:rsid w:val="0093523F"/>
    <w:rsid w:val="00935D9A"/>
    <w:rsid w:val="00936D19"/>
    <w:rsid w:val="00936F9E"/>
    <w:rsid w:val="009400F9"/>
    <w:rsid w:val="00940281"/>
    <w:rsid w:val="00940575"/>
    <w:rsid w:val="009417FC"/>
    <w:rsid w:val="00947BC0"/>
    <w:rsid w:val="0095029A"/>
    <w:rsid w:val="00950500"/>
    <w:rsid w:val="0095191A"/>
    <w:rsid w:val="00952F1E"/>
    <w:rsid w:val="009536A7"/>
    <w:rsid w:val="00953CBC"/>
    <w:rsid w:val="00954F45"/>
    <w:rsid w:val="00954F7C"/>
    <w:rsid w:val="00957D8D"/>
    <w:rsid w:val="0096410F"/>
    <w:rsid w:val="00964C66"/>
    <w:rsid w:val="009654E8"/>
    <w:rsid w:val="009657A0"/>
    <w:rsid w:val="009660D8"/>
    <w:rsid w:val="00967C1D"/>
    <w:rsid w:val="00970874"/>
    <w:rsid w:val="00970A5F"/>
    <w:rsid w:val="00970D24"/>
    <w:rsid w:val="009722A4"/>
    <w:rsid w:val="0097230B"/>
    <w:rsid w:val="00972B3E"/>
    <w:rsid w:val="009732A1"/>
    <w:rsid w:val="009734CC"/>
    <w:rsid w:val="009738D5"/>
    <w:rsid w:val="00976340"/>
    <w:rsid w:val="009763DD"/>
    <w:rsid w:val="00976790"/>
    <w:rsid w:val="0097763A"/>
    <w:rsid w:val="009800B2"/>
    <w:rsid w:val="00981BD7"/>
    <w:rsid w:val="00982197"/>
    <w:rsid w:val="009821F5"/>
    <w:rsid w:val="0098314C"/>
    <w:rsid w:val="00984D01"/>
    <w:rsid w:val="00987F1A"/>
    <w:rsid w:val="009915F6"/>
    <w:rsid w:val="00991747"/>
    <w:rsid w:val="009923B1"/>
    <w:rsid w:val="00992CE6"/>
    <w:rsid w:val="009977C6"/>
    <w:rsid w:val="00997E66"/>
    <w:rsid w:val="00997F5B"/>
    <w:rsid w:val="009A2893"/>
    <w:rsid w:val="009A2937"/>
    <w:rsid w:val="009A3184"/>
    <w:rsid w:val="009A37AC"/>
    <w:rsid w:val="009A5F89"/>
    <w:rsid w:val="009A732E"/>
    <w:rsid w:val="009B0C3F"/>
    <w:rsid w:val="009B0E22"/>
    <w:rsid w:val="009B205A"/>
    <w:rsid w:val="009B3F48"/>
    <w:rsid w:val="009B4732"/>
    <w:rsid w:val="009B64DE"/>
    <w:rsid w:val="009B6B00"/>
    <w:rsid w:val="009B7760"/>
    <w:rsid w:val="009C054C"/>
    <w:rsid w:val="009C0E54"/>
    <w:rsid w:val="009C3469"/>
    <w:rsid w:val="009C5583"/>
    <w:rsid w:val="009C6170"/>
    <w:rsid w:val="009C62A3"/>
    <w:rsid w:val="009C6602"/>
    <w:rsid w:val="009C6746"/>
    <w:rsid w:val="009C6EF7"/>
    <w:rsid w:val="009D13AC"/>
    <w:rsid w:val="009D20DD"/>
    <w:rsid w:val="009D2552"/>
    <w:rsid w:val="009D2653"/>
    <w:rsid w:val="009D2938"/>
    <w:rsid w:val="009D2A3C"/>
    <w:rsid w:val="009D3025"/>
    <w:rsid w:val="009D3AC5"/>
    <w:rsid w:val="009D4D52"/>
    <w:rsid w:val="009D5A9D"/>
    <w:rsid w:val="009E1533"/>
    <w:rsid w:val="009E1EB7"/>
    <w:rsid w:val="009E3062"/>
    <w:rsid w:val="009E4878"/>
    <w:rsid w:val="009E4AA0"/>
    <w:rsid w:val="009E6F14"/>
    <w:rsid w:val="009E7ECC"/>
    <w:rsid w:val="009F0804"/>
    <w:rsid w:val="009F16A6"/>
    <w:rsid w:val="009F17EC"/>
    <w:rsid w:val="009F1874"/>
    <w:rsid w:val="009F1A38"/>
    <w:rsid w:val="009F3015"/>
    <w:rsid w:val="009F3E2E"/>
    <w:rsid w:val="009F5263"/>
    <w:rsid w:val="009F6216"/>
    <w:rsid w:val="00A04133"/>
    <w:rsid w:val="00A05281"/>
    <w:rsid w:val="00A07604"/>
    <w:rsid w:val="00A07614"/>
    <w:rsid w:val="00A146A2"/>
    <w:rsid w:val="00A14DDD"/>
    <w:rsid w:val="00A14ED2"/>
    <w:rsid w:val="00A17C34"/>
    <w:rsid w:val="00A205A9"/>
    <w:rsid w:val="00A213C9"/>
    <w:rsid w:val="00A2158B"/>
    <w:rsid w:val="00A228A8"/>
    <w:rsid w:val="00A24453"/>
    <w:rsid w:val="00A2776C"/>
    <w:rsid w:val="00A31B90"/>
    <w:rsid w:val="00A33980"/>
    <w:rsid w:val="00A357AE"/>
    <w:rsid w:val="00A41AA5"/>
    <w:rsid w:val="00A43305"/>
    <w:rsid w:val="00A43AFE"/>
    <w:rsid w:val="00A444D1"/>
    <w:rsid w:val="00A44677"/>
    <w:rsid w:val="00A446BD"/>
    <w:rsid w:val="00A44D4B"/>
    <w:rsid w:val="00A4535E"/>
    <w:rsid w:val="00A46F77"/>
    <w:rsid w:val="00A5136D"/>
    <w:rsid w:val="00A51886"/>
    <w:rsid w:val="00A52F9C"/>
    <w:rsid w:val="00A53E45"/>
    <w:rsid w:val="00A53FE7"/>
    <w:rsid w:val="00A5536A"/>
    <w:rsid w:val="00A55EB5"/>
    <w:rsid w:val="00A56B14"/>
    <w:rsid w:val="00A63051"/>
    <w:rsid w:val="00A6427F"/>
    <w:rsid w:val="00A6479F"/>
    <w:rsid w:val="00A717FF"/>
    <w:rsid w:val="00A72128"/>
    <w:rsid w:val="00A72A19"/>
    <w:rsid w:val="00A748C3"/>
    <w:rsid w:val="00A749B2"/>
    <w:rsid w:val="00A74A0A"/>
    <w:rsid w:val="00A7507D"/>
    <w:rsid w:val="00A7727C"/>
    <w:rsid w:val="00A81DF7"/>
    <w:rsid w:val="00A81E73"/>
    <w:rsid w:val="00A82DA1"/>
    <w:rsid w:val="00A830D4"/>
    <w:rsid w:val="00A83126"/>
    <w:rsid w:val="00A85456"/>
    <w:rsid w:val="00A858D6"/>
    <w:rsid w:val="00A85931"/>
    <w:rsid w:val="00A86F1E"/>
    <w:rsid w:val="00A90F97"/>
    <w:rsid w:val="00A91C5A"/>
    <w:rsid w:val="00A94ACB"/>
    <w:rsid w:val="00A95E52"/>
    <w:rsid w:val="00A9621F"/>
    <w:rsid w:val="00A9780E"/>
    <w:rsid w:val="00A97BCE"/>
    <w:rsid w:val="00AA220A"/>
    <w:rsid w:val="00AA308C"/>
    <w:rsid w:val="00AA5101"/>
    <w:rsid w:val="00AA5C2E"/>
    <w:rsid w:val="00AA66E4"/>
    <w:rsid w:val="00AA6B02"/>
    <w:rsid w:val="00AB0E19"/>
    <w:rsid w:val="00AB0EA1"/>
    <w:rsid w:val="00AB324C"/>
    <w:rsid w:val="00AB3C8B"/>
    <w:rsid w:val="00AB4471"/>
    <w:rsid w:val="00AB54F6"/>
    <w:rsid w:val="00AB590A"/>
    <w:rsid w:val="00AB6AE6"/>
    <w:rsid w:val="00AB73DF"/>
    <w:rsid w:val="00AC08F6"/>
    <w:rsid w:val="00AC2CCD"/>
    <w:rsid w:val="00AC3659"/>
    <w:rsid w:val="00AC3FB7"/>
    <w:rsid w:val="00AC449E"/>
    <w:rsid w:val="00AC4EBD"/>
    <w:rsid w:val="00AC61FC"/>
    <w:rsid w:val="00AC7F34"/>
    <w:rsid w:val="00AD10D6"/>
    <w:rsid w:val="00AD1B0E"/>
    <w:rsid w:val="00AD2F9D"/>
    <w:rsid w:val="00AD4146"/>
    <w:rsid w:val="00AD41D8"/>
    <w:rsid w:val="00AD4EEA"/>
    <w:rsid w:val="00AD56C9"/>
    <w:rsid w:val="00AD572D"/>
    <w:rsid w:val="00AD628E"/>
    <w:rsid w:val="00AE0DD3"/>
    <w:rsid w:val="00AE1690"/>
    <w:rsid w:val="00AE297D"/>
    <w:rsid w:val="00AE3714"/>
    <w:rsid w:val="00AE4B0B"/>
    <w:rsid w:val="00AE5392"/>
    <w:rsid w:val="00AE7385"/>
    <w:rsid w:val="00AF12CB"/>
    <w:rsid w:val="00AF18F9"/>
    <w:rsid w:val="00AF1DC6"/>
    <w:rsid w:val="00AF3821"/>
    <w:rsid w:val="00AF385F"/>
    <w:rsid w:val="00AF53FE"/>
    <w:rsid w:val="00AF55B6"/>
    <w:rsid w:val="00AF5DE1"/>
    <w:rsid w:val="00AF6BD2"/>
    <w:rsid w:val="00AF706B"/>
    <w:rsid w:val="00AF7423"/>
    <w:rsid w:val="00B0118E"/>
    <w:rsid w:val="00B03EDD"/>
    <w:rsid w:val="00B0456B"/>
    <w:rsid w:val="00B05C31"/>
    <w:rsid w:val="00B06900"/>
    <w:rsid w:val="00B106AA"/>
    <w:rsid w:val="00B11691"/>
    <w:rsid w:val="00B13274"/>
    <w:rsid w:val="00B13E8B"/>
    <w:rsid w:val="00B17D9B"/>
    <w:rsid w:val="00B17F6B"/>
    <w:rsid w:val="00B17FF2"/>
    <w:rsid w:val="00B20E6B"/>
    <w:rsid w:val="00B22270"/>
    <w:rsid w:val="00B2245B"/>
    <w:rsid w:val="00B231E2"/>
    <w:rsid w:val="00B241F5"/>
    <w:rsid w:val="00B24A3F"/>
    <w:rsid w:val="00B24CDA"/>
    <w:rsid w:val="00B2787D"/>
    <w:rsid w:val="00B31C44"/>
    <w:rsid w:val="00B41B03"/>
    <w:rsid w:val="00B42859"/>
    <w:rsid w:val="00B42991"/>
    <w:rsid w:val="00B43A6F"/>
    <w:rsid w:val="00B47F00"/>
    <w:rsid w:val="00B52946"/>
    <w:rsid w:val="00B54D07"/>
    <w:rsid w:val="00B552A6"/>
    <w:rsid w:val="00B564CC"/>
    <w:rsid w:val="00B574C2"/>
    <w:rsid w:val="00B60258"/>
    <w:rsid w:val="00B60AB0"/>
    <w:rsid w:val="00B60F09"/>
    <w:rsid w:val="00B61FD9"/>
    <w:rsid w:val="00B62309"/>
    <w:rsid w:val="00B6309B"/>
    <w:rsid w:val="00B63DDD"/>
    <w:rsid w:val="00B64AFC"/>
    <w:rsid w:val="00B67E86"/>
    <w:rsid w:val="00B7001D"/>
    <w:rsid w:val="00B7054D"/>
    <w:rsid w:val="00B727C6"/>
    <w:rsid w:val="00B73375"/>
    <w:rsid w:val="00B80F1A"/>
    <w:rsid w:val="00B83A09"/>
    <w:rsid w:val="00B84800"/>
    <w:rsid w:val="00B858DE"/>
    <w:rsid w:val="00B90B6C"/>
    <w:rsid w:val="00B947C2"/>
    <w:rsid w:val="00BA1014"/>
    <w:rsid w:val="00BA38B9"/>
    <w:rsid w:val="00BA75CE"/>
    <w:rsid w:val="00BB1303"/>
    <w:rsid w:val="00BB2C73"/>
    <w:rsid w:val="00BB3BE2"/>
    <w:rsid w:val="00BB584D"/>
    <w:rsid w:val="00BB5B4A"/>
    <w:rsid w:val="00BB6E59"/>
    <w:rsid w:val="00BB7DDD"/>
    <w:rsid w:val="00BC0934"/>
    <w:rsid w:val="00BC2AA2"/>
    <w:rsid w:val="00BC2C25"/>
    <w:rsid w:val="00BC322B"/>
    <w:rsid w:val="00BC5B57"/>
    <w:rsid w:val="00BC5CAE"/>
    <w:rsid w:val="00BC624C"/>
    <w:rsid w:val="00BC62E5"/>
    <w:rsid w:val="00BC6EAB"/>
    <w:rsid w:val="00BC7C3C"/>
    <w:rsid w:val="00BC7F48"/>
    <w:rsid w:val="00BD0431"/>
    <w:rsid w:val="00BD110E"/>
    <w:rsid w:val="00BD293B"/>
    <w:rsid w:val="00BD4F58"/>
    <w:rsid w:val="00BD7106"/>
    <w:rsid w:val="00BD77C3"/>
    <w:rsid w:val="00BE6115"/>
    <w:rsid w:val="00BE69F7"/>
    <w:rsid w:val="00BE6DA5"/>
    <w:rsid w:val="00BE6F2F"/>
    <w:rsid w:val="00BE745C"/>
    <w:rsid w:val="00BF083F"/>
    <w:rsid w:val="00BF21FC"/>
    <w:rsid w:val="00BF3641"/>
    <w:rsid w:val="00BF51A0"/>
    <w:rsid w:val="00BF62A3"/>
    <w:rsid w:val="00BF6A0B"/>
    <w:rsid w:val="00BF78B5"/>
    <w:rsid w:val="00BF7D74"/>
    <w:rsid w:val="00C01283"/>
    <w:rsid w:val="00C01C29"/>
    <w:rsid w:val="00C050A7"/>
    <w:rsid w:val="00C07432"/>
    <w:rsid w:val="00C115D1"/>
    <w:rsid w:val="00C141C7"/>
    <w:rsid w:val="00C14AC4"/>
    <w:rsid w:val="00C15E7F"/>
    <w:rsid w:val="00C20B26"/>
    <w:rsid w:val="00C211A8"/>
    <w:rsid w:val="00C21F72"/>
    <w:rsid w:val="00C237EC"/>
    <w:rsid w:val="00C24C95"/>
    <w:rsid w:val="00C26E7E"/>
    <w:rsid w:val="00C309CB"/>
    <w:rsid w:val="00C30B81"/>
    <w:rsid w:val="00C32B9A"/>
    <w:rsid w:val="00C32D53"/>
    <w:rsid w:val="00C335FC"/>
    <w:rsid w:val="00C33AA3"/>
    <w:rsid w:val="00C3421C"/>
    <w:rsid w:val="00C345C2"/>
    <w:rsid w:val="00C36904"/>
    <w:rsid w:val="00C40449"/>
    <w:rsid w:val="00C4102C"/>
    <w:rsid w:val="00C43AB4"/>
    <w:rsid w:val="00C43C27"/>
    <w:rsid w:val="00C44857"/>
    <w:rsid w:val="00C44C51"/>
    <w:rsid w:val="00C44DC9"/>
    <w:rsid w:val="00C456F0"/>
    <w:rsid w:val="00C459BF"/>
    <w:rsid w:val="00C4711F"/>
    <w:rsid w:val="00C511F5"/>
    <w:rsid w:val="00C55DF4"/>
    <w:rsid w:val="00C57B2F"/>
    <w:rsid w:val="00C60806"/>
    <w:rsid w:val="00C615CC"/>
    <w:rsid w:val="00C61FE1"/>
    <w:rsid w:val="00C6346E"/>
    <w:rsid w:val="00C63484"/>
    <w:rsid w:val="00C64DB4"/>
    <w:rsid w:val="00C652D7"/>
    <w:rsid w:val="00C66995"/>
    <w:rsid w:val="00C67449"/>
    <w:rsid w:val="00C72883"/>
    <w:rsid w:val="00C72FC6"/>
    <w:rsid w:val="00C73440"/>
    <w:rsid w:val="00C745A8"/>
    <w:rsid w:val="00C7467D"/>
    <w:rsid w:val="00C77A89"/>
    <w:rsid w:val="00C80210"/>
    <w:rsid w:val="00C807F8"/>
    <w:rsid w:val="00C82DF7"/>
    <w:rsid w:val="00C84460"/>
    <w:rsid w:val="00C85734"/>
    <w:rsid w:val="00C94C6D"/>
    <w:rsid w:val="00C94F9D"/>
    <w:rsid w:val="00C95408"/>
    <w:rsid w:val="00C967B6"/>
    <w:rsid w:val="00C97E7F"/>
    <w:rsid w:val="00CA197A"/>
    <w:rsid w:val="00CA2CF2"/>
    <w:rsid w:val="00CA3D79"/>
    <w:rsid w:val="00CA3E91"/>
    <w:rsid w:val="00CA41B3"/>
    <w:rsid w:val="00CA588E"/>
    <w:rsid w:val="00CA6910"/>
    <w:rsid w:val="00CA717F"/>
    <w:rsid w:val="00CA7629"/>
    <w:rsid w:val="00CB1D07"/>
    <w:rsid w:val="00CB1E14"/>
    <w:rsid w:val="00CB2593"/>
    <w:rsid w:val="00CB2697"/>
    <w:rsid w:val="00CB3F8E"/>
    <w:rsid w:val="00CB4B37"/>
    <w:rsid w:val="00CB5CEE"/>
    <w:rsid w:val="00CB6433"/>
    <w:rsid w:val="00CB650F"/>
    <w:rsid w:val="00CB6C80"/>
    <w:rsid w:val="00CB7AA2"/>
    <w:rsid w:val="00CB7DF8"/>
    <w:rsid w:val="00CB7FB4"/>
    <w:rsid w:val="00CC05BA"/>
    <w:rsid w:val="00CC243C"/>
    <w:rsid w:val="00CC37E9"/>
    <w:rsid w:val="00CC3CBC"/>
    <w:rsid w:val="00CC6006"/>
    <w:rsid w:val="00CC7D82"/>
    <w:rsid w:val="00CD0CD5"/>
    <w:rsid w:val="00CD0D2D"/>
    <w:rsid w:val="00CD1AF3"/>
    <w:rsid w:val="00CD20DF"/>
    <w:rsid w:val="00CD2FEE"/>
    <w:rsid w:val="00CD314F"/>
    <w:rsid w:val="00CD3599"/>
    <w:rsid w:val="00CD4372"/>
    <w:rsid w:val="00CD76A9"/>
    <w:rsid w:val="00CE05D7"/>
    <w:rsid w:val="00CE0768"/>
    <w:rsid w:val="00CE082C"/>
    <w:rsid w:val="00CE16E7"/>
    <w:rsid w:val="00CE30B3"/>
    <w:rsid w:val="00CE4CB5"/>
    <w:rsid w:val="00CE65FC"/>
    <w:rsid w:val="00CF1DB8"/>
    <w:rsid w:val="00CF5725"/>
    <w:rsid w:val="00CF5B77"/>
    <w:rsid w:val="00CF65CC"/>
    <w:rsid w:val="00D008A1"/>
    <w:rsid w:val="00D017F0"/>
    <w:rsid w:val="00D030E5"/>
    <w:rsid w:val="00D032AE"/>
    <w:rsid w:val="00D034E5"/>
    <w:rsid w:val="00D03CD8"/>
    <w:rsid w:val="00D04B80"/>
    <w:rsid w:val="00D0508C"/>
    <w:rsid w:val="00D0524E"/>
    <w:rsid w:val="00D075B5"/>
    <w:rsid w:val="00D07892"/>
    <w:rsid w:val="00D10037"/>
    <w:rsid w:val="00D111A6"/>
    <w:rsid w:val="00D11F13"/>
    <w:rsid w:val="00D12EB4"/>
    <w:rsid w:val="00D148BF"/>
    <w:rsid w:val="00D17AA3"/>
    <w:rsid w:val="00D20AC5"/>
    <w:rsid w:val="00D20E41"/>
    <w:rsid w:val="00D22063"/>
    <w:rsid w:val="00D2308A"/>
    <w:rsid w:val="00D25164"/>
    <w:rsid w:val="00D2531D"/>
    <w:rsid w:val="00D260FF"/>
    <w:rsid w:val="00D262B0"/>
    <w:rsid w:val="00D2793F"/>
    <w:rsid w:val="00D30AF9"/>
    <w:rsid w:val="00D31318"/>
    <w:rsid w:val="00D31BCF"/>
    <w:rsid w:val="00D326B0"/>
    <w:rsid w:val="00D34643"/>
    <w:rsid w:val="00D350D3"/>
    <w:rsid w:val="00D35762"/>
    <w:rsid w:val="00D3652D"/>
    <w:rsid w:val="00D3669D"/>
    <w:rsid w:val="00D36B37"/>
    <w:rsid w:val="00D43F86"/>
    <w:rsid w:val="00D4604A"/>
    <w:rsid w:val="00D46B31"/>
    <w:rsid w:val="00D504B8"/>
    <w:rsid w:val="00D50E0D"/>
    <w:rsid w:val="00D526A5"/>
    <w:rsid w:val="00D52C33"/>
    <w:rsid w:val="00D532F2"/>
    <w:rsid w:val="00D53690"/>
    <w:rsid w:val="00D5425B"/>
    <w:rsid w:val="00D56580"/>
    <w:rsid w:val="00D573CD"/>
    <w:rsid w:val="00D5774E"/>
    <w:rsid w:val="00D6000E"/>
    <w:rsid w:val="00D6113A"/>
    <w:rsid w:val="00D616DC"/>
    <w:rsid w:val="00D62F36"/>
    <w:rsid w:val="00D631BD"/>
    <w:rsid w:val="00D64E48"/>
    <w:rsid w:val="00D653D1"/>
    <w:rsid w:val="00D663D4"/>
    <w:rsid w:val="00D674BA"/>
    <w:rsid w:val="00D71DDD"/>
    <w:rsid w:val="00D7292A"/>
    <w:rsid w:val="00D72D13"/>
    <w:rsid w:val="00D75542"/>
    <w:rsid w:val="00D76DBA"/>
    <w:rsid w:val="00D77896"/>
    <w:rsid w:val="00D77E30"/>
    <w:rsid w:val="00D8147D"/>
    <w:rsid w:val="00D8344E"/>
    <w:rsid w:val="00D842EB"/>
    <w:rsid w:val="00D8433A"/>
    <w:rsid w:val="00D84678"/>
    <w:rsid w:val="00D85E05"/>
    <w:rsid w:val="00D87165"/>
    <w:rsid w:val="00D90CD9"/>
    <w:rsid w:val="00D925A1"/>
    <w:rsid w:val="00D9592B"/>
    <w:rsid w:val="00D95DE6"/>
    <w:rsid w:val="00D9602C"/>
    <w:rsid w:val="00D97734"/>
    <w:rsid w:val="00DA029C"/>
    <w:rsid w:val="00DA0F62"/>
    <w:rsid w:val="00DA32F9"/>
    <w:rsid w:val="00DA393A"/>
    <w:rsid w:val="00DA5266"/>
    <w:rsid w:val="00DA5A4D"/>
    <w:rsid w:val="00DA6287"/>
    <w:rsid w:val="00DB0983"/>
    <w:rsid w:val="00DB12E0"/>
    <w:rsid w:val="00DB2C68"/>
    <w:rsid w:val="00DB3997"/>
    <w:rsid w:val="00DB45ED"/>
    <w:rsid w:val="00DB5252"/>
    <w:rsid w:val="00DB5B87"/>
    <w:rsid w:val="00DB5DCC"/>
    <w:rsid w:val="00DB7AD1"/>
    <w:rsid w:val="00DC0879"/>
    <w:rsid w:val="00DC2D0C"/>
    <w:rsid w:val="00DC309D"/>
    <w:rsid w:val="00DC3125"/>
    <w:rsid w:val="00DC440A"/>
    <w:rsid w:val="00DC5493"/>
    <w:rsid w:val="00DC561A"/>
    <w:rsid w:val="00DC78EA"/>
    <w:rsid w:val="00DD0094"/>
    <w:rsid w:val="00DD4AC6"/>
    <w:rsid w:val="00DD6A87"/>
    <w:rsid w:val="00DE0AED"/>
    <w:rsid w:val="00DE0BE8"/>
    <w:rsid w:val="00DE25C8"/>
    <w:rsid w:val="00DE25E3"/>
    <w:rsid w:val="00DE2D3A"/>
    <w:rsid w:val="00DE3D36"/>
    <w:rsid w:val="00DE4A14"/>
    <w:rsid w:val="00DE5862"/>
    <w:rsid w:val="00DE5CED"/>
    <w:rsid w:val="00DE68E9"/>
    <w:rsid w:val="00DE75B7"/>
    <w:rsid w:val="00DF25E0"/>
    <w:rsid w:val="00DF4166"/>
    <w:rsid w:val="00DF4C35"/>
    <w:rsid w:val="00DF54D5"/>
    <w:rsid w:val="00DF5ED0"/>
    <w:rsid w:val="00DF6917"/>
    <w:rsid w:val="00E00D37"/>
    <w:rsid w:val="00E021E5"/>
    <w:rsid w:val="00E03958"/>
    <w:rsid w:val="00E0578E"/>
    <w:rsid w:val="00E0582E"/>
    <w:rsid w:val="00E058A2"/>
    <w:rsid w:val="00E058BF"/>
    <w:rsid w:val="00E075DB"/>
    <w:rsid w:val="00E07B80"/>
    <w:rsid w:val="00E11FB7"/>
    <w:rsid w:val="00E137F4"/>
    <w:rsid w:val="00E151FE"/>
    <w:rsid w:val="00E179CD"/>
    <w:rsid w:val="00E17DB1"/>
    <w:rsid w:val="00E202AB"/>
    <w:rsid w:val="00E20B6D"/>
    <w:rsid w:val="00E220C1"/>
    <w:rsid w:val="00E22853"/>
    <w:rsid w:val="00E2446D"/>
    <w:rsid w:val="00E24DBF"/>
    <w:rsid w:val="00E259D5"/>
    <w:rsid w:val="00E25E9F"/>
    <w:rsid w:val="00E30580"/>
    <w:rsid w:val="00E32DCA"/>
    <w:rsid w:val="00E34886"/>
    <w:rsid w:val="00E35093"/>
    <w:rsid w:val="00E355B4"/>
    <w:rsid w:val="00E35B20"/>
    <w:rsid w:val="00E36942"/>
    <w:rsid w:val="00E40223"/>
    <w:rsid w:val="00E42F7D"/>
    <w:rsid w:val="00E44D69"/>
    <w:rsid w:val="00E45B29"/>
    <w:rsid w:val="00E47F9E"/>
    <w:rsid w:val="00E50F01"/>
    <w:rsid w:val="00E50F73"/>
    <w:rsid w:val="00E517D8"/>
    <w:rsid w:val="00E51D7C"/>
    <w:rsid w:val="00E5306B"/>
    <w:rsid w:val="00E572AB"/>
    <w:rsid w:val="00E57AC5"/>
    <w:rsid w:val="00E608C2"/>
    <w:rsid w:val="00E6106C"/>
    <w:rsid w:val="00E61436"/>
    <w:rsid w:val="00E61F60"/>
    <w:rsid w:val="00E624B5"/>
    <w:rsid w:val="00E6480B"/>
    <w:rsid w:val="00E6795E"/>
    <w:rsid w:val="00E67E29"/>
    <w:rsid w:val="00E72026"/>
    <w:rsid w:val="00E7220E"/>
    <w:rsid w:val="00E728F3"/>
    <w:rsid w:val="00E73F38"/>
    <w:rsid w:val="00E746A6"/>
    <w:rsid w:val="00E74AF9"/>
    <w:rsid w:val="00E75571"/>
    <w:rsid w:val="00E76A94"/>
    <w:rsid w:val="00E77043"/>
    <w:rsid w:val="00E81C4C"/>
    <w:rsid w:val="00E82A74"/>
    <w:rsid w:val="00E83771"/>
    <w:rsid w:val="00E84D64"/>
    <w:rsid w:val="00E857AE"/>
    <w:rsid w:val="00E85FE5"/>
    <w:rsid w:val="00E875F8"/>
    <w:rsid w:val="00E87984"/>
    <w:rsid w:val="00E87B9E"/>
    <w:rsid w:val="00E87D6E"/>
    <w:rsid w:val="00E90C2B"/>
    <w:rsid w:val="00E92852"/>
    <w:rsid w:val="00E938C2"/>
    <w:rsid w:val="00E93C7C"/>
    <w:rsid w:val="00E93D31"/>
    <w:rsid w:val="00E950AA"/>
    <w:rsid w:val="00EA0433"/>
    <w:rsid w:val="00EA3C19"/>
    <w:rsid w:val="00EA4202"/>
    <w:rsid w:val="00EA4390"/>
    <w:rsid w:val="00EA4624"/>
    <w:rsid w:val="00EA4EE6"/>
    <w:rsid w:val="00EA545A"/>
    <w:rsid w:val="00EA586C"/>
    <w:rsid w:val="00EA669D"/>
    <w:rsid w:val="00EB0AAF"/>
    <w:rsid w:val="00EB29C7"/>
    <w:rsid w:val="00EB34B4"/>
    <w:rsid w:val="00EB3741"/>
    <w:rsid w:val="00EB38AF"/>
    <w:rsid w:val="00EB43F9"/>
    <w:rsid w:val="00EB4C0C"/>
    <w:rsid w:val="00EB67BD"/>
    <w:rsid w:val="00EB7299"/>
    <w:rsid w:val="00EC067D"/>
    <w:rsid w:val="00EC0999"/>
    <w:rsid w:val="00EC4913"/>
    <w:rsid w:val="00EC7AD7"/>
    <w:rsid w:val="00ED1760"/>
    <w:rsid w:val="00ED2EF5"/>
    <w:rsid w:val="00ED48DE"/>
    <w:rsid w:val="00ED6211"/>
    <w:rsid w:val="00EE0631"/>
    <w:rsid w:val="00EE0CC5"/>
    <w:rsid w:val="00EE13DB"/>
    <w:rsid w:val="00EE1E8F"/>
    <w:rsid w:val="00EF1644"/>
    <w:rsid w:val="00EF7E63"/>
    <w:rsid w:val="00F00659"/>
    <w:rsid w:val="00F029D6"/>
    <w:rsid w:val="00F03755"/>
    <w:rsid w:val="00F03DB4"/>
    <w:rsid w:val="00F046A1"/>
    <w:rsid w:val="00F048B0"/>
    <w:rsid w:val="00F06AC0"/>
    <w:rsid w:val="00F10C8F"/>
    <w:rsid w:val="00F11330"/>
    <w:rsid w:val="00F12486"/>
    <w:rsid w:val="00F141B1"/>
    <w:rsid w:val="00F14913"/>
    <w:rsid w:val="00F14AE4"/>
    <w:rsid w:val="00F15AF0"/>
    <w:rsid w:val="00F15D69"/>
    <w:rsid w:val="00F177EB"/>
    <w:rsid w:val="00F203C6"/>
    <w:rsid w:val="00F25725"/>
    <w:rsid w:val="00F2685A"/>
    <w:rsid w:val="00F3002C"/>
    <w:rsid w:val="00F31753"/>
    <w:rsid w:val="00F318D2"/>
    <w:rsid w:val="00F33D92"/>
    <w:rsid w:val="00F34277"/>
    <w:rsid w:val="00F34A2C"/>
    <w:rsid w:val="00F36754"/>
    <w:rsid w:val="00F36F34"/>
    <w:rsid w:val="00F42859"/>
    <w:rsid w:val="00F42C97"/>
    <w:rsid w:val="00F42DA8"/>
    <w:rsid w:val="00F437A4"/>
    <w:rsid w:val="00F47B6D"/>
    <w:rsid w:val="00F51BBA"/>
    <w:rsid w:val="00F54228"/>
    <w:rsid w:val="00F54F19"/>
    <w:rsid w:val="00F56347"/>
    <w:rsid w:val="00F56712"/>
    <w:rsid w:val="00F56B49"/>
    <w:rsid w:val="00F60FC0"/>
    <w:rsid w:val="00F61C30"/>
    <w:rsid w:val="00F63080"/>
    <w:rsid w:val="00F63EC0"/>
    <w:rsid w:val="00F655B6"/>
    <w:rsid w:val="00F66676"/>
    <w:rsid w:val="00F70BE3"/>
    <w:rsid w:val="00F7218C"/>
    <w:rsid w:val="00F7460D"/>
    <w:rsid w:val="00F74846"/>
    <w:rsid w:val="00F7741C"/>
    <w:rsid w:val="00F8017B"/>
    <w:rsid w:val="00F8235A"/>
    <w:rsid w:val="00F82A37"/>
    <w:rsid w:val="00F82D69"/>
    <w:rsid w:val="00F84D06"/>
    <w:rsid w:val="00F84F69"/>
    <w:rsid w:val="00F854A2"/>
    <w:rsid w:val="00F8621B"/>
    <w:rsid w:val="00F86704"/>
    <w:rsid w:val="00F90031"/>
    <w:rsid w:val="00F900E7"/>
    <w:rsid w:val="00F9125F"/>
    <w:rsid w:val="00F91940"/>
    <w:rsid w:val="00F922A1"/>
    <w:rsid w:val="00F9243F"/>
    <w:rsid w:val="00F9258B"/>
    <w:rsid w:val="00F92B5D"/>
    <w:rsid w:val="00F92F61"/>
    <w:rsid w:val="00F958F8"/>
    <w:rsid w:val="00F96544"/>
    <w:rsid w:val="00F97020"/>
    <w:rsid w:val="00F9738D"/>
    <w:rsid w:val="00FA05E2"/>
    <w:rsid w:val="00FA0BF8"/>
    <w:rsid w:val="00FA134F"/>
    <w:rsid w:val="00FA2345"/>
    <w:rsid w:val="00FA5023"/>
    <w:rsid w:val="00FA5993"/>
    <w:rsid w:val="00FA6475"/>
    <w:rsid w:val="00FB2BCC"/>
    <w:rsid w:val="00FB5B56"/>
    <w:rsid w:val="00FB680F"/>
    <w:rsid w:val="00FB7586"/>
    <w:rsid w:val="00FC1B19"/>
    <w:rsid w:val="00FC3F98"/>
    <w:rsid w:val="00FC5A83"/>
    <w:rsid w:val="00FC627F"/>
    <w:rsid w:val="00FC73ED"/>
    <w:rsid w:val="00FC7966"/>
    <w:rsid w:val="00FC7A5D"/>
    <w:rsid w:val="00FD07AC"/>
    <w:rsid w:val="00FD0803"/>
    <w:rsid w:val="00FD1180"/>
    <w:rsid w:val="00FD32AD"/>
    <w:rsid w:val="00FD3574"/>
    <w:rsid w:val="00FD3D36"/>
    <w:rsid w:val="00FD68DF"/>
    <w:rsid w:val="00FD7EE9"/>
    <w:rsid w:val="00FE0CDF"/>
    <w:rsid w:val="00FE0E1E"/>
    <w:rsid w:val="00FE4584"/>
    <w:rsid w:val="00FE6B5D"/>
    <w:rsid w:val="00FE7CE1"/>
    <w:rsid w:val="00FE7FEB"/>
    <w:rsid w:val="00FF0316"/>
    <w:rsid w:val="00FF0E28"/>
    <w:rsid w:val="00FF0FF3"/>
    <w:rsid w:val="00FF1583"/>
    <w:rsid w:val="00FF2FF0"/>
    <w:rsid w:val="00FF3447"/>
    <w:rsid w:val="00FF4144"/>
    <w:rsid w:val="00FF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31C736"/>
  <w15:docId w15:val="{2ADC6D72-C83F-47A1-AC5B-3CE98388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1"/>
    <w:pPr>
      <w:spacing w:line="260" w:lineRule="atLeast"/>
    </w:pPr>
    <w:rPr>
      <w:sz w:val="20"/>
      <w:szCs w:val="20"/>
      <w:lang w:eastAsia="en-US"/>
    </w:rPr>
  </w:style>
  <w:style w:type="paragraph" w:styleId="Heading1">
    <w:name w:val="heading 1"/>
    <w:basedOn w:val="Normal"/>
    <w:next w:val="Normal"/>
    <w:link w:val="Heading1Char"/>
    <w:qFormat/>
    <w:locked/>
    <w:rsid w:val="00AD4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41476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BodyText"/>
    <w:link w:val="Heading7Char"/>
    <w:uiPriority w:val="99"/>
    <w:qFormat/>
    <w:rsid w:val="00684C8B"/>
    <w:pPr>
      <w:spacing w:before="240" w:after="60" w:line="240" w:lineRule="auto"/>
      <w:outlineLvl w:val="6"/>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84C8B"/>
    <w:rPr>
      <w:rFonts w:ascii="Calibri" w:hAnsi="Calibri" w:cs="Times New Roman"/>
      <w:sz w:val="24"/>
      <w:szCs w:val="24"/>
    </w:rPr>
  </w:style>
  <w:style w:type="paragraph" w:styleId="Header">
    <w:name w:val="header"/>
    <w:basedOn w:val="Normal"/>
    <w:link w:val="HeaderChar"/>
    <w:uiPriority w:val="99"/>
    <w:rsid w:val="007F77B1"/>
    <w:pPr>
      <w:tabs>
        <w:tab w:val="center" w:pos="4153"/>
        <w:tab w:val="right" w:pos="8306"/>
      </w:tabs>
    </w:pPr>
  </w:style>
  <w:style w:type="character" w:customStyle="1" w:styleId="HeaderChar">
    <w:name w:val="Header Char"/>
    <w:basedOn w:val="DefaultParagraphFont"/>
    <w:link w:val="Header"/>
    <w:uiPriority w:val="99"/>
    <w:locked/>
    <w:rsid w:val="005E1DBC"/>
    <w:rPr>
      <w:rFonts w:cs="Times New Roman"/>
      <w:sz w:val="20"/>
      <w:szCs w:val="20"/>
      <w:lang w:eastAsia="en-US"/>
    </w:rPr>
  </w:style>
  <w:style w:type="paragraph" w:styleId="Footer">
    <w:name w:val="footer"/>
    <w:basedOn w:val="Normal"/>
    <w:link w:val="FooterChar"/>
    <w:uiPriority w:val="99"/>
    <w:rsid w:val="007F77B1"/>
    <w:pPr>
      <w:tabs>
        <w:tab w:val="center" w:pos="4153"/>
        <w:tab w:val="right" w:pos="8306"/>
      </w:tabs>
    </w:pPr>
  </w:style>
  <w:style w:type="character" w:customStyle="1" w:styleId="FooterChar">
    <w:name w:val="Footer Char"/>
    <w:basedOn w:val="DefaultParagraphFont"/>
    <w:link w:val="Footer"/>
    <w:uiPriority w:val="99"/>
    <w:locked/>
    <w:rsid w:val="005E1DBC"/>
    <w:rPr>
      <w:rFonts w:cs="Times New Roman"/>
      <w:sz w:val="20"/>
      <w:szCs w:val="20"/>
      <w:lang w:eastAsia="en-US"/>
    </w:rPr>
  </w:style>
  <w:style w:type="character" w:styleId="PageNumber">
    <w:name w:val="page number"/>
    <w:basedOn w:val="DefaultParagraphFont"/>
    <w:uiPriority w:val="99"/>
    <w:rsid w:val="007F77B1"/>
    <w:rPr>
      <w:rFonts w:cs="Times New Roman"/>
    </w:rPr>
  </w:style>
  <w:style w:type="paragraph" w:styleId="ListParagraph">
    <w:name w:val="List Paragraph"/>
    <w:basedOn w:val="Normal"/>
    <w:link w:val="ListParagraphChar"/>
    <w:uiPriority w:val="34"/>
    <w:qFormat/>
    <w:rsid w:val="00067D93"/>
    <w:pPr>
      <w:ind w:left="720"/>
    </w:pPr>
  </w:style>
  <w:style w:type="paragraph" w:styleId="BalloonText">
    <w:name w:val="Balloon Text"/>
    <w:basedOn w:val="Normal"/>
    <w:link w:val="BalloonTextChar"/>
    <w:uiPriority w:val="99"/>
    <w:semiHidden/>
    <w:rsid w:val="00E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7C"/>
    <w:rPr>
      <w:rFonts w:ascii="Tahoma" w:hAnsi="Tahoma" w:cs="Tahoma"/>
      <w:sz w:val="16"/>
      <w:szCs w:val="16"/>
      <w:lang w:eastAsia="en-US"/>
    </w:rPr>
  </w:style>
  <w:style w:type="paragraph" w:styleId="BodyText">
    <w:name w:val="Body Text"/>
    <w:basedOn w:val="Normal"/>
    <w:link w:val="BodyTextChar"/>
    <w:uiPriority w:val="99"/>
    <w:rsid w:val="00874DD5"/>
    <w:pPr>
      <w:spacing w:before="60" w:after="260" w:line="240" w:lineRule="auto"/>
    </w:pPr>
    <w:rPr>
      <w:rFonts w:ascii="Arial" w:hAnsi="Arial"/>
      <w:sz w:val="24"/>
      <w:szCs w:val="24"/>
      <w:lang w:eastAsia="en-GB"/>
    </w:rPr>
  </w:style>
  <w:style w:type="character" w:customStyle="1" w:styleId="BodyTextChar">
    <w:name w:val="Body Text Char"/>
    <w:basedOn w:val="DefaultParagraphFont"/>
    <w:link w:val="BodyText"/>
    <w:uiPriority w:val="99"/>
    <w:locked/>
    <w:rsid w:val="00874DD5"/>
    <w:rPr>
      <w:rFonts w:ascii="Arial" w:hAnsi="Arial" w:cs="Times New Roman"/>
      <w:sz w:val="24"/>
      <w:szCs w:val="24"/>
    </w:rPr>
  </w:style>
  <w:style w:type="paragraph" w:customStyle="1" w:styleId="Ruth-bullet">
    <w:name w:val="Ruth - bullet"/>
    <w:basedOn w:val="ListParagraph"/>
    <w:link w:val="Ruth-bulletChar"/>
    <w:uiPriority w:val="99"/>
    <w:rsid w:val="00856E2E"/>
    <w:pPr>
      <w:spacing w:before="120" w:after="120" w:line="240" w:lineRule="auto"/>
      <w:ind w:hanging="360"/>
    </w:pPr>
    <w:rPr>
      <w:rFonts w:ascii="Calibri" w:hAnsi="Calibri"/>
      <w:sz w:val="24"/>
      <w:szCs w:val="24"/>
      <w:lang w:eastAsia="en-GB"/>
    </w:rPr>
  </w:style>
  <w:style w:type="character" w:customStyle="1" w:styleId="Ruth-bulletChar">
    <w:name w:val="Ruth - bullet Char"/>
    <w:basedOn w:val="DefaultParagraphFont"/>
    <w:link w:val="Ruth-bullet"/>
    <w:uiPriority w:val="99"/>
    <w:locked/>
    <w:rsid w:val="00856E2E"/>
    <w:rPr>
      <w:rFonts w:ascii="Calibri" w:hAnsi="Calibri" w:cs="Times New Roman"/>
      <w:sz w:val="24"/>
      <w:szCs w:val="24"/>
    </w:rPr>
  </w:style>
  <w:style w:type="paragraph" w:customStyle="1" w:styleId="Ruthsbulletpoint">
    <w:name w:val="Ruth's bullet point"/>
    <w:basedOn w:val="Normal"/>
    <w:link w:val="RuthsbulletpointChar"/>
    <w:uiPriority w:val="99"/>
    <w:rsid w:val="00684C8B"/>
    <w:pPr>
      <w:spacing w:before="120" w:after="120" w:line="240" w:lineRule="auto"/>
      <w:ind w:left="720" w:hanging="360"/>
    </w:pPr>
    <w:rPr>
      <w:rFonts w:ascii="Arial" w:hAnsi="Arial"/>
      <w:sz w:val="24"/>
      <w:szCs w:val="24"/>
      <w:lang w:eastAsia="en-GB"/>
    </w:rPr>
  </w:style>
  <w:style w:type="character" w:customStyle="1" w:styleId="RuthsbulletpointChar">
    <w:name w:val="Ruth's bullet point Char"/>
    <w:basedOn w:val="DefaultParagraphFont"/>
    <w:link w:val="Ruthsbulletpoint"/>
    <w:uiPriority w:val="99"/>
    <w:locked/>
    <w:rsid w:val="00684C8B"/>
    <w:rPr>
      <w:rFonts w:ascii="Arial" w:hAnsi="Arial" w:cs="Times New Roman"/>
      <w:sz w:val="24"/>
      <w:szCs w:val="24"/>
    </w:rPr>
  </w:style>
  <w:style w:type="character" w:styleId="CommentReference">
    <w:name w:val="annotation reference"/>
    <w:basedOn w:val="DefaultParagraphFont"/>
    <w:uiPriority w:val="99"/>
    <w:semiHidden/>
    <w:rsid w:val="0074730A"/>
    <w:rPr>
      <w:rFonts w:cs="Times New Roman"/>
      <w:sz w:val="16"/>
      <w:szCs w:val="16"/>
    </w:rPr>
  </w:style>
  <w:style w:type="paragraph" w:styleId="CommentText">
    <w:name w:val="annotation text"/>
    <w:basedOn w:val="Normal"/>
    <w:link w:val="CommentTextChar"/>
    <w:uiPriority w:val="99"/>
    <w:semiHidden/>
    <w:rsid w:val="0074730A"/>
    <w:pPr>
      <w:spacing w:line="240" w:lineRule="auto"/>
    </w:pPr>
  </w:style>
  <w:style w:type="character" w:customStyle="1" w:styleId="CommentTextChar">
    <w:name w:val="Comment Text Char"/>
    <w:basedOn w:val="DefaultParagraphFont"/>
    <w:link w:val="CommentText"/>
    <w:uiPriority w:val="99"/>
    <w:semiHidden/>
    <w:locked/>
    <w:rsid w:val="00747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30A"/>
    <w:rPr>
      <w:b/>
      <w:bCs/>
    </w:rPr>
  </w:style>
  <w:style w:type="character" w:customStyle="1" w:styleId="CommentSubjectChar">
    <w:name w:val="Comment Subject Char"/>
    <w:basedOn w:val="CommentTextChar"/>
    <w:link w:val="CommentSubject"/>
    <w:uiPriority w:val="99"/>
    <w:semiHidden/>
    <w:locked/>
    <w:rsid w:val="0074730A"/>
    <w:rPr>
      <w:rFonts w:cs="Times New Roman"/>
      <w:b/>
      <w:bCs/>
      <w:sz w:val="20"/>
      <w:szCs w:val="20"/>
      <w:lang w:eastAsia="en-US"/>
    </w:rPr>
  </w:style>
  <w:style w:type="paragraph" w:styleId="ListBullet">
    <w:name w:val="List Bullet"/>
    <w:basedOn w:val="Normal"/>
    <w:autoRedefine/>
    <w:uiPriority w:val="99"/>
    <w:rsid w:val="00806279"/>
    <w:pPr>
      <w:tabs>
        <w:tab w:val="num" w:pos="360"/>
      </w:tabs>
      <w:spacing w:line="240" w:lineRule="auto"/>
      <w:ind w:left="360" w:hanging="360"/>
    </w:pPr>
    <w:rPr>
      <w:rFonts w:ascii="Univers" w:hAnsi="Univers"/>
      <w:sz w:val="22"/>
    </w:rPr>
  </w:style>
  <w:style w:type="character" w:customStyle="1" w:styleId="ListParagraphChar">
    <w:name w:val="List Paragraph Char"/>
    <w:basedOn w:val="DefaultParagraphFont"/>
    <w:link w:val="ListParagraph"/>
    <w:uiPriority w:val="34"/>
    <w:locked/>
    <w:rsid w:val="00D03CD8"/>
    <w:rPr>
      <w:rFonts w:cs="Times New Roman"/>
      <w:sz w:val="20"/>
      <w:szCs w:val="20"/>
      <w:lang w:eastAsia="en-US"/>
    </w:rPr>
  </w:style>
  <w:style w:type="paragraph" w:customStyle="1" w:styleId="Ruthsparagraph">
    <w:name w:val="Ruth's paragraph"/>
    <w:basedOn w:val="ListParagraph"/>
    <w:link w:val="RuthsparagraphChar1"/>
    <w:uiPriority w:val="99"/>
    <w:rsid w:val="00164A45"/>
    <w:pPr>
      <w:numPr>
        <w:ilvl w:val="1"/>
        <w:numId w:val="2"/>
      </w:numPr>
      <w:spacing w:before="120" w:after="120" w:line="240" w:lineRule="auto"/>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64A45"/>
    <w:rPr>
      <w:rFonts w:ascii="Arial" w:hAnsi="Arial"/>
      <w:sz w:val="24"/>
      <w:szCs w:val="24"/>
    </w:rPr>
  </w:style>
  <w:style w:type="paragraph" w:customStyle="1" w:styleId="Ruthsnumberedheading">
    <w:name w:val="Ruth's numbered heading"/>
    <w:basedOn w:val="Normal"/>
    <w:uiPriority w:val="99"/>
    <w:rsid w:val="00164A45"/>
    <w:pPr>
      <w:numPr>
        <w:numId w:val="2"/>
      </w:numPr>
      <w:spacing w:before="120" w:after="120" w:line="240" w:lineRule="auto"/>
    </w:pPr>
    <w:rPr>
      <w:rFonts w:ascii="Arial" w:hAnsi="Arial" w:cs="Arial"/>
      <w:b/>
      <w:sz w:val="28"/>
      <w:szCs w:val="28"/>
      <w:lang w:eastAsia="en-GB"/>
    </w:rPr>
  </w:style>
  <w:style w:type="paragraph" w:customStyle="1" w:styleId="Default">
    <w:name w:val="Default"/>
    <w:rsid w:val="00E07B80"/>
    <w:pPr>
      <w:autoSpaceDE w:val="0"/>
      <w:autoSpaceDN w:val="0"/>
      <w:adjustRightInd w:val="0"/>
    </w:pPr>
    <w:rPr>
      <w:rFonts w:ascii="Arial" w:hAnsi="Arial" w:cs="Arial"/>
      <w:color w:val="000000"/>
      <w:sz w:val="24"/>
      <w:szCs w:val="24"/>
    </w:rPr>
  </w:style>
  <w:style w:type="table" w:styleId="TableGrid">
    <w:name w:val="Table Grid"/>
    <w:basedOn w:val="TableNormal"/>
    <w:locked/>
    <w:rsid w:val="00C345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ED0"/>
    <w:rPr>
      <w:sz w:val="20"/>
      <w:szCs w:val="20"/>
      <w:lang w:eastAsia="en-US"/>
    </w:rPr>
  </w:style>
  <w:style w:type="paragraph" w:customStyle="1" w:styleId="Italicparaheading">
    <w:name w:val="Italic para heading"/>
    <w:basedOn w:val="Normal"/>
    <w:link w:val="ItalicparaheadingChar"/>
    <w:uiPriority w:val="99"/>
    <w:rsid w:val="00336EB2"/>
    <w:pPr>
      <w:spacing w:before="120" w:after="120" w:line="240" w:lineRule="auto"/>
    </w:pPr>
    <w:rPr>
      <w:rFonts w:ascii="Arial" w:hAnsi="Arial"/>
      <w:b/>
      <w:i/>
      <w:sz w:val="24"/>
      <w:szCs w:val="24"/>
      <w:lang w:eastAsia="en-GB"/>
    </w:rPr>
  </w:style>
  <w:style w:type="character" w:customStyle="1" w:styleId="ItalicparaheadingChar">
    <w:name w:val="Italic para heading Char"/>
    <w:basedOn w:val="DefaultParagraphFont"/>
    <w:link w:val="Italicparaheading"/>
    <w:uiPriority w:val="99"/>
    <w:locked/>
    <w:rsid w:val="00336EB2"/>
    <w:rPr>
      <w:rFonts w:ascii="Arial" w:hAnsi="Arial" w:cs="Times New Roman"/>
      <w:b/>
      <w:i/>
      <w:sz w:val="24"/>
      <w:szCs w:val="24"/>
    </w:rPr>
  </w:style>
  <w:style w:type="paragraph" w:styleId="NormalWeb">
    <w:name w:val="Normal (Web)"/>
    <w:basedOn w:val="Normal"/>
    <w:uiPriority w:val="99"/>
    <w:semiHidden/>
    <w:unhideWhenUsed/>
    <w:rsid w:val="005D599B"/>
    <w:pPr>
      <w:spacing w:before="100" w:beforeAutospacing="1" w:after="100" w:afterAutospacing="1" w:line="240" w:lineRule="auto"/>
    </w:pPr>
    <w:rPr>
      <w:sz w:val="24"/>
      <w:szCs w:val="24"/>
      <w:lang w:eastAsia="en-GB"/>
    </w:rPr>
  </w:style>
  <w:style w:type="character" w:customStyle="1" w:styleId="Heading3Char">
    <w:name w:val="Heading 3 Char"/>
    <w:basedOn w:val="DefaultParagraphFont"/>
    <w:link w:val="Heading3"/>
    <w:semiHidden/>
    <w:rsid w:val="00414763"/>
    <w:rPr>
      <w:rFonts w:asciiTheme="majorHAnsi" w:eastAsiaTheme="majorEastAsia" w:hAnsiTheme="majorHAnsi" w:cstheme="majorBidi"/>
      <w:b/>
      <w:bCs/>
      <w:color w:val="4F81BD" w:themeColor="accent1"/>
      <w:sz w:val="20"/>
      <w:szCs w:val="20"/>
      <w:lang w:eastAsia="en-US"/>
    </w:rPr>
  </w:style>
  <w:style w:type="numbering" w:customStyle="1" w:styleId="Ruth-numberedparagraphoutline">
    <w:name w:val="Ruth - numbered paragraph outline"/>
    <w:uiPriority w:val="99"/>
    <w:rsid w:val="000266BC"/>
    <w:pPr>
      <w:numPr>
        <w:numId w:val="9"/>
      </w:numPr>
    </w:pPr>
  </w:style>
  <w:style w:type="character" w:customStyle="1" w:styleId="Heading1Char">
    <w:name w:val="Heading 1 Char"/>
    <w:basedOn w:val="DefaultParagraphFont"/>
    <w:link w:val="Heading1"/>
    <w:rsid w:val="00AD41D8"/>
    <w:rPr>
      <w:rFonts w:asciiTheme="majorHAnsi" w:eastAsiaTheme="majorEastAsia" w:hAnsiTheme="majorHAnsi" w:cstheme="majorBidi"/>
      <w:b/>
      <w:bCs/>
      <w:color w:val="365F91" w:themeColor="accent1" w:themeShade="BF"/>
      <w:sz w:val="28"/>
      <w:szCs w:val="28"/>
      <w:lang w:eastAsia="en-US"/>
    </w:rPr>
  </w:style>
  <w:style w:type="numbering" w:customStyle="1" w:styleId="Ruth-numberedheading">
    <w:name w:val="Ruth - numbered heading"/>
    <w:uiPriority w:val="99"/>
    <w:rsid w:val="00AD41D8"/>
    <w:pPr>
      <w:numPr>
        <w:numId w:val="12"/>
      </w:numPr>
    </w:pPr>
  </w:style>
  <w:style w:type="paragraph" w:customStyle="1" w:styleId="Ruth-numberedparagraph">
    <w:name w:val="Ruth - numbered paragraph"/>
    <w:basedOn w:val="ListParagraph"/>
    <w:link w:val="Ruth-numberedparagraphChar"/>
    <w:autoRedefine/>
    <w:rsid w:val="00AE4B0B"/>
    <w:pPr>
      <w:numPr>
        <w:numId w:val="22"/>
      </w:numPr>
      <w:spacing w:line="240" w:lineRule="auto"/>
    </w:pPr>
    <w:rPr>
      <w:rFonts w:asciiTheme="minorHAnsi" w:hAnsiTheme="minorHAnsi"/>
      <w:sz w:val="24"/>
      <w:szCs w:val="24"/>
      <w:lang w:eastAsia="en-GB"/>
    </w:rPr>
  </w:style>
  <w:style w:type="numbering" w:customStyle="1" w:styleId="Style1">
    <w:name w:val="Style1"/>
    <w:uiPriority w:val="99"/>
    <w:rsid w:val="00BB5B4A"/>
    <w:pPr>
      <w:numPr>
        <w:numId w:val="25"/>
      </w:numPr>
    </w:pPr>
  </w:style>
  <w:style w:type="paragraph" w:customStyle="1" w:styleId="Arial16Bold">
    <w:name w:val="Arial 16 Bold"/>
    <w:qFormat/>
    <w:rsid w:val="00D90CD9"/>
    <w:pPr>
      <w:spacing w:before="240" w:after="120"/>
    </w:pPr>
    <w:rPr>
      <w:rFonts w:ascii="Arial" w:eastAsiaTheme="minorEastAsia" w:hAnsi="Arial" w:cs="Arial"/>
      <w:b/>
      <w:sz w:val="32"/>
    </w:rPr>
  </w:style>
  <w:style w:type="character" w:customStyle="1" w:styleId="Ruth-numberedparagraphChar">
    <w:name w:val="Ruth - numbered paragraph Char"/>
    <w:basedOn w:val="DefaultParagraphFont"/>
    <w:link w:val="Ruth-numberedparagraph"/>
    <w:rsid w:val="00122710"/>
    <w:rPr>
      <w:rFonts w:asciiTheme="minorHAnsi" w:hAnsiTheme="minorHAnsi"/>
      <w:sz w:val="24"/>
      <w:szCs w:val="24"/>
    </w:rPr>
  </w:style>
  <w:style w:type="paragraph" w:customStyle="1" w:styleId="TableColumnHeader">
    <w:name w:val="Table Column Header"/>
    <w:basedOn w:val="Normal"/>
    <w:rsid w:val="001E7A81"/>
    <w:pPr>
      <w:spacing w:before="80" w:after="80" w:line="240" w:lineRule="atLeas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942">
      <w:bodyDiv w:val="1"/>
      <w:marLeft w:val="0"/>
      <w:marRight w:val="0"/>
      <w:marTop w:val="0"/>
      <w:marBottom w:val="0"/>
      <w:divBdr>
        <w:top w:val="none" w:sz="0" w:space="0" w:color="auto"/>
        <w:left w:val="none" w:sz="0" w:space="0" w:color="auto"/>
        <w:bottom w:val="none" w:sz="0" w:space="0" w:color="auto"/>
        <w:right w:val="none" w:sz="0" w:space="0" w:color="auto"/>
      </w:divBdr>
    </w:div>
    <w:div w:id="306403605">
      <w:bodyDiv w:val="1"/>
      <w:marLeft w:val="0"/>
      <w:marRight w:val="0"/>
      <w:marTop w:val="0"/>
      <w:marBottom w:val="0"/>
      <w:divBdr>
        <w:top w:val="none" w:sz="0" w:space="0" w:color="auto"/>
        <w:left w:val="none" w:sz="0" w:space="0" w:color="auto"/>
        <w:bottom w:val="none" w:sz="0" w:space="0" w:color="auto"/>
        <w:right w:val="none" w:sz="0" w:space="0" w:color="auto"/>
      </w:divBdr>
    </w:div>
    <w:div w:id="357971717">
      <w:bodyDiv w:val="1"/>
      <w:marLeft w:val="0"/>
      <w:marRight w:val="0"/>
      <w:marTop w:val="0"/>
      <w:marBottom w:val="0"/>
      <w:divBdr>
        <w:top w:val="none" w:sz="0" w:space="0" w:color="auto"/>
        <w:left w:val="none" w:sz="0" w:space="0" w:color="auto"/>
        <w:bottom w:val="none" w:sz="0" w:space="0" w:color="auto"/>
        <w:right w:val="none" w:sz="0" w:space="0" w:color="auto"/>
      </w:divBdr>
    </w:div>
    <w:div w:id="383674036">
      <w:bodyDiv w:val="1"/>
      <w:marLeft w:val="0"/>
      <w:marRight w:val="0"/>
      <w:marTop w:val="0"/>
      <w:marBottom w:val="0"/>
      <w:divBdr>
        <w:top w:val="none" w:sz="0" w:space="0" w:color="auto"/>
        <w:left w:val="none" w:sz="0" w:space="0" w:color="auto"/>
        <w:bottom w:val="none" w:sz="0" w:space="0" w:color="auto"/>
        <w:right w:val="none" w:sz="0" w:space="0" w:color="auto"/>
      </w:divBdr>
    </w:div>
    <w:div w:id="463281114">
      <w:bodyDiv w:val="1"/>
      <w:marLeft w:val="0"/>
      <w:marRight w:val="0"/>
      <w:marTop w:val="0"/>
      <w:marBottom w:val="0"/>
      <w:divBdr>
        <w:top w:val="none" w:sz="0" w:space="0" w:color="auto"/>
        <w:left w:val="none" w:sz="0" w:space="0" w:color="auto"/>
        <w:bottom w:val="none" w:sz="0" w:space="0" w:color="auto"/>
        <w:right w:val="none" w:sz="0" w:space="0" w:color="auto"/>
      </w:divBdr>
    </w:div>
    <w:div w:id="527720650">
      <w:bodyDiv w:val="1"/>
      <w:marLeft w:val="0"/>
      <w:marRight w:val="0"/>
      <w:marTop w:val="0"/>
      <w:marBottom w:val="0"/>
      <w:divBdr>
        <w:top w:val="none" w:sz="0" w:space="0" w:color="auto"/>
        <w:left w:val="none" w:sz="0" w:space="0" w:color="auto"/>
        <w:bottom w:val="none" w:sz="0" w:space="0" w:color="auto"/>
        <w:right w:val="none" w:sz="0" w:space="0" w:color="auto"/>
      </w:divBdr>
    </w:div>
    <w:div w:id="551312530">
      <w:bodyDiv w:val="1"/>
      <w:marLeft w:val="0"/>
      <w:marRight w:val="0"/>
      <w:marTop w:val="0"/>
      <w:marBottom w:val="0"/>
      <w:divBdr>
        <w:top w:val="none" w:sz="0" w:space="0" w:color="auto"/>
        <w:left w:val="none" w:sz="0" w:space="0" w:color="auto"/>
        <w:bottom w:val="none" w:sz="0" w:space="0" w:color="auto"/>
        <w:right w:val="none" w:sz="0" w:space="0" w:color="auto"/>
      </w:divBdr>
    </w:div>
    <w:div w:id="688994329">
      <w:bodyDiv w:val="1"/>
      <w:marLeft w:val="0"/>
      <w:marRight w:val="0"/>
      <w:marTop w:val="0"/>
      <w:marBottom w:val="0"/>
      <w:divBdr>
        <w:top w:val="none" w:sz="0" w:space="0" w:color="auto"/>
        <w:left w:val="none" w:sz="0" w:space="0" w:color="auto"/>
        <w:bottom w:val="none" w:sz="0" w:space="0" w:color="auto"/>
        <w:right w:val="none" w:sz="0" w:space="0" w:color="auto"/>
      </w:divBdr>
      <w:divsChild>
        <w:div w:id="106900524">
          <w:marLeft w:val="0"/>
          <w:marRight w:val="0"/>
          <w:marTop w:val="0"/>
          <w:marBottom w:val="0"/>
          <w:divBdr>
            <w:top w:val="none" w:sz="0" w:space="0" w:color="auto"/>
            <w:left w:val="none" w:sz="0" w:space="0" w:color="auto"/>
            <w:bottom w:val="none" w:sz="0" w:space="0" w:color="auto"/>
            <w:right w:val="none" w:sz="0" w:space="0" w:color="auto"/>
          </w:divBdr>
          <w:divsChild>
            <w:div w:id="1417898699">
              <w:marLeft w:val="0"/>
              <w:marRight w:val="0"/>
              <w:marTop w:val="0"/>
              <w:marBottom w:val="0"/>
              <w:divBdr>
                <w:top w:val="none" w:sz="0" w:space="0" w:color="auto"/>
                <w:left w:val="none" w:sz="0" w:space="0" w:color="auto"/>
                <w:bottom w:val="none" w:sz="0" w:space="0" w:color="auto"/>
                <w:right w:val="none" w:sz="0" w:space="0" w:color="auto"/>
              </w:divBdr>
              <w:divsChild>
                <w:div w:id="13741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16395">
      <w:bodyDiv w:val="1"/>
      <w:marLeft w:val="0"/>
      <w:marRight w:val="0"/>
      <w:marTop w:val="0"/>
      <w:marBottom w:val="0"/>
      <w:divBdr>
        <w:top w:val="none" w:sz="0" w:space="0" w:color="auto"/>
        <w:left w:val="none" w:sz="0" w:space="0" w:color="auto"/>
        <w:bottom w:val="none" w:sz="0" w:space="0" w:color="auto"/>
        <w:right w:val="none" w:sz="0" w:space="0" w:color="auto"/>
      </w:divBdr>
    </w:div>
    <w:div w:id="1009648167">
      <w:bodyDiv w:val="1"/>
      <w:marLeft w:val="0"/>
      <w:marRight w:val="0"/>
      <w:marTop w:val="0"/>
      <w:marBottom w:val="0"/>
      <w:divBdr>
        <w:top w:val="none" w:sz="0" w:space="0" w:color="auto"/>
        <w:left w:val="none" w:sz="0" w:space="0" w:color="auto"/>
        <w:bottom w:val="none" w:sz="0" w:space="0" w:color="auto"/>
        <w:right w:val="none" w:sz="0" w:space="0" w:color="auto"/>
      </w:divBdr>
    </w:div>
    <w:div w:id="1028720568">
      <w:bodyDiv w:val="1"/>
      <w:marLeft w:val="0"/>
      <w:marRight w:val="0"/>
      <w:marTop w:val="0"/>
      <w:marBottom w:val="0"/>
      <w:divBdr>
        <w:top w:val="none" w:sz="0" w:space="0" w:color="auto"/>
        <w:left w:val="none" w:sz="0" w:space="0" w:color="auto"/>
        <w:bottom w:val="none" w:sz="0" w:space="0" w:color="auto"/>
        <w:right w:val="none" w:sz="0" w:space="0" w:color="auto"/>
      </w:divBdr>
    </w:div>
    <w:div w:id="1233082492">
      <w:bodyDiv w:val="1"/>
      <w:marLeft w:val="0"/>
      <w:marRight w:val="0"/>
      <w:marTop w:val="0"/>
      <w:marBottom w:val="0"/>
      <w:divBdr>
        <w:top w:val="none" w:sz="0" w:space="0" w:color="auto"/>
        <w:left w:val="none" w:sz="0" w:space="0" w:color="auto"/>
        <w:bottom w:val="none" w:sz="0" w:space="0" w:color="auto"/>
        <w:right w:val="none" w:sz="0" w:space="0" w:color="auto"/>
      </w:divBdr>
    </w:div>
    <w:div w:id="1283805057">
      <w:bodyDiv w:val="1"/>
      <w:marLeft w:val="0"/>
      <w:marRight w:val="0"/>
      <w:marTop w:val="0"/>
      <w:marBottom w:val="0"/>
      <w:divBdr>
        <w:top w:val="none" w:sz="0" w:space="0" w:color="auto"/>
        <w:left w:val="none" w:sz="0" w:space="0" w:color="auto"/>
        <w:bottom w:val="none" w:sz="0" w:space="0" w:color="auto"/>
        <w:right w:val="none" w:sz="0" w:space="0" w:color="auto"/>
      </w:divBdr>
    </w:div>
    <w:div w:id="1291591435">
      <w:bodyDiv w:val="1"/>
      <w:marLeft w:val="0"/>
      <w:marRight w:val="0"/>
      <w:marTop w:val="0"/>
      <w:marBottom w:val="0"/>
      <w:divBdr>
        <w:top w:val="none" w:sz="0" w:space="0" w:color="auto"/>
        <w:left w:val="none" w:sz="0" w:space="0" w:color="auto"/>
        <w:bottom w:val="none" w:sz="0" w:space="0" w:color="auto"/>
        <w:right w:val="none" w:sz="0" w:space="0" w:color="auto"/>
      </w:divBdr>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
    <w:div w:id="1395280923">
      <w:bodyDiv w:val="1"/>
      <w:marLeft w:val="0"/>
      <w:marRight w:val="0"/>
      <w:marTop w:val="0"/>
      <w:marBottom w:val="0"/>
      <w:divBdr>
        <w:top w:val="none" w:sz="0" w:space="0" w:color="auto"/>
        <w:left w:val="none" w:sz="0" w:space="0" w:color="auto"/>
        <w:bottom w:val="none" w:sz="0" w:space="0" w:color="auto"/>
        <w:right w:val="none" w:sz="0" w:space="0" w:color="auto"/>
      </w:divBdr>
    </w:div>
    <w:div w:id="1402867471">
      <w:bodyDiv w:val="1"/>
      <w:marLeft w:val="0"/>
      <w:marRight w:val="0"/>
      <w:marTop w:val="0"/>
      <w:marBottom w:val="0"/>
      <w:divBdr>
        <w:top w:val="none" w:sz="0" w:space="0" w:color="auto"/>
        <w:left w:val="none" w:sz="0" w:space="0" w:color="auto"/>
        <w:bottom w:val="none" w:sz="0" w:space="0" w:color="auto"/>
        <w:right w:val="none" w:sz="0" w:space="0" w:color="auto"/>
      </w:divBdr>
    </w:div>
    <w:div w:id="1438258602">
      <w:bodyDiv w:val="1"/>
      <w:marLeft w:val="0"/>
      <w:marRight w:val="0"/>
      <w:marTop w:val="0"/>
      <w:marBottom w:val="0"/>
      <w:divBdr>
        <w:top w:val="none" w:sz="0" w:space="0" w:color="auto"/>
        <w:left w:val="none" w:sz="0" w:space="0" w:color="auto"/>
        <w:bottom w:val="none" w:sz="0" w:space="0" w:color="auto"/>
        <w:right w:val="none" w:sz="0" w:space="0" w:color="auto"/>
      </w:divBdr>
    </w:div>
    <w:div w:id="1475173137">
      <w:bodyDiv w:val="1"/>
      <w:marLeft w:val="0"/>
      <w:marRight w:val="0"/>
      <w:marTop w:val="0"/>
      <w:marBottom w:val="0"/>
      <w:divBdr>
        <w:top w:val="none" w:sz="0" w:space="0" w:color="auto"/>
        <w:left w:val="none" w:sz="0" w:space="0" w:color="auto"/>
        <w:bottom w:val="none" w:sz="0" w:space="0" w:color="auto"/>
        <w:right w:val="none" w:sz="0" w:space="0" w:color="auto"/>
      </w:divBdr>
    </w:div>
    <w:div w:id="1498233137">
      <w:bodyDiv w:val="1"/>
      <w:marLeft w:val="0"/>
      <w:marRight w:val="0"/>
      <w:marTop w:val="0"/>
      <w:marBottom w:val="0"/>
      <w:divBdr>
        <w:top w:val="none" w:sz="0" w:space="0" w:color="auto"/>
        <w:left w:val="none" w:sz="0" w:space="0" w:color="auto"/>
        <w:bottom w:val="none" w:sz="0" w:space="0" w:color="auto"/>
        <w:right w:val="none" w:sz="0" w:space="0" w:color="auto"/>
      </w:divBdr>
    </w:div>
    <w:div w:id="1577520604">
      <w:marLeft w:val="0"/>
      <w:marRight w:val="0"/>
      <w:marTop w:val="0"/>
      <w:marBottom w:val="0"/>
      <w:divBdr>
        <w:top w:val="none" w:sz="0" w:space="0" w:color="auto"/>
        <w:left w:val="none" w:sz="0" w:space="0" w:color="auto"/>
        <w:bottom w:val="none" w:sz="0" w:space="0" w:color="auto"/>
        <w:right w:val="none" w:sz="0" w:space="0" w:color="auto"/>
      </w:divBdr>
    </w:div>
    <w:div w:id="1577520605">
      <w:marLeft w:val="0"/>
      <w:marRight w:val="0"/>
      <w:marTop w:val="0"/>
      <w:marBottom w:val="0"/>
      <w:divBdr>
        <w:top w:val="none" w:sz="0" w:space="0" w:color="auto"/>
        <w:left w:val="none" w:sz="0" w:space="0" w:color="auto"/>
        <w:bottom w:val="none" w:sz="0" w:space="0" w:color="auto"/>
        <w:right w:val="none" w:sz="0" w:space="0" w:color="auto"/>
      </w:divBdr>
      <w:divsChild>
        <w:div w:id="1577520611">
          <w:marLeft w:val="0"/>
          <w:marRight w:val="0"/>
          <w:marTop w:val="0"/>
          <w:marBottom w:val="0"/>
          <w:divBdr>
            <w:top w:val="none" w:sz="0" w:space="0" w:color="auto"/>
            <w:left w:val="none" w:sz="0" w:space="0" w:color="auto"/>
            <w:bottom w:val="none" w:sz="0" w:space="0" w:color="auto"/>
            <w:right w:val="none" w:sz="0" w:space="0" w:color="auto"/>
          </w:divBdr>
          <w:divsChild>
            <w:div w:id="1577520608">
              <w:marLeft w:val="0"/>
              <w:marRight w:val="0"/>
              <w:marTop w:val="0"/>
              <w:marBottom w:val="0"/>
              <w:divBdr>
                <w:top w:val="none" w:sz="0" w:space="0" w:color="auto"/>
                <w:left w:val="none" w:sz="0" w:space="0" w:color="auto"/>
                <w:bottom w:val="none" w:sz="0" w:space="0" w:color="auto"/>
                <w:right w:val="none" w:sz="0" w:space="0" w:color="auto"/>
              </w:divBdr>
              <w:divsChild>
                <w:div w:id="1577520603">
                  <w:marLeft w:val="0"/>
                  <w:marRight w:val="0"/>
                  <w:marTop w:val="0"/>
                  <w:marBottom w:val="0"/>
                  <w:divBdr>
                    <w:top w:val="none" w:sz="0" w:space="0" w:color="auto"/>
                    <w:left w:val="none" w:sz="0" w:space="0" w:color="auto"/>
                    <w:bottom w:val="none" w:sz="0" w:space="0" w:color="auto"/>
                    <w:right w:val="none" w:sz="0" w:space="0" w:color="auto"/>
                  </w:divBdr>
                  <w:divsChild>
                    <w:div w:id="1577520602">
                      <w:marLeft w:val="0"/>
                      <w:marRight w:val="0"/>
                      <w:marTop w:val="0"/>
                      <w:marBottom w:val="0"/>
                      <w:divBdr>
                        <w:top w:val="none" w:sz="0" w:space="0" w:color="auto"/>
                        <w:left w:val="none" w:sz="0" w:space="0" w:color="auto"/>
                        <w:bottom w:val="none" w:sz="0" w:space="0" w:color="auto"/>
                        <w:right w:val="none" w:sz="0" w:space="0" w:color="auto"/>
                      </w:divBdr>
                      <w:divsChild>
                        <w:div w:id="15775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20607">
      <w:marLeft w:val="0"/>
      <w:marRight w:val="0"/>
      <w:marTop w:val="0"/>
      <w:marBottom w:val="0"/>
      <w:divBdr>
        <w:top w:val="none" w:sz="0" w:space="0" w:color="auto"/>
        <w:left w:val="none" w:sz="0" w:space="0" w:color="auto"/>
        <w:bottom w:val="none" w:sz="0" w:space="0" w:color="auto"/>
        <w:right w:val="none" w:sz="0" w:space="0" w:color="auto"/>
      </w:divBdr>
    </w:div>
    <w:div w:id="1577520609">
      <w:marLeft w:val="0"/>
      <w:marRight w:val="0"/>
      <w:marTop w:val="0"/>
      <w:marBottom w:val="0"/>
      <w:divBdr>
        <w:top w:val="none" w:sz="0" w:space="0" w:color="auto"/>
        <w:left w:val="none" w:sz="0" w:space="0" w:color="auto"/>
        <w:bottom w:val="none" w:sz="0" w:space="0" w:color="auto"/>
        <w:right w:val="none" w:sz="0" w:space="0" w:color="auto"/>
      </w:divBdr>
    </w:div>
    <w:div w:id="1577520610">
      <w:marLeft w:val="0"/>
      <w:marRight w:val="0"/>
      <w:marTop w:val="0"/>
      <w:marBottom w:val="0"/>
      <w:divBdr>
        <w:top w:val="none" w:sz="0" w:space="0" w:color="auto"/>
        <w:left w:val="none" w:sz="0" w:space="0" w:color="auto"/>
        <w:bottom w:val="none" w:sz="0" w:space="0" w:color="auto"/>
        <w:right w:val="none" w:sz="0" w:space="0" w:color="auto"/>
      </w:divBdr>
    </w:div>
    <w:div w:id="1645888538">
      <w:bodyDiv w:val="1"/>
      <w:marLeft w:val="0"/>
      <w:marRight w:val="0"/>
      <w:marTop w:val="0"/>
      <w:marBottom w:val="0"/>
      <w:divBdr>
        <w:top w:val="none" w:sz="0" w:space="0" w:color="auto"/>
        <w:left w:val="none" w:sz="0" w:space="0" w:color="auto"/>
        <w:bottom w:val="none" w:sz="0" w:space="0" w:color="auto"/>
        <w:right w:val="none" w:sz="0" w:space="0" w:color="auto"/>
      </w:divBdr>
    </w:div>
    <w:div w:id="1699240288">
      <w:bodyDiv w:val="1"/>
      <w:marLeft w:val="0"/>
      <w:marRight w:val="0"/>
      <w:marTop w:val="0"/>
      <w:marBottom w:val="0"/>
      <w:divBdr>
        <w:top w:val="none" w:sz="0" w:space="0" w:color="auto"/>
        <w:left w:val="none" w:sz="0" w:space="0" w:color="auto"/>
        <w:bottom w:val="none" w:sz="0" w:space="0" w:color="auto"/>
        <w:right w:val="none" w:sz="0" w:space="0" w:color="auto"/>
      </w:divBdr>
    </w:div>
    <w:div w:id="1818909467">
      <w:bodyDiv w:val="1"/>
      <w:marLeft w:val="0"/>
      <w:marRight w:val="0"/>
      <w:marTop w:val="0"/>
      <w:marBottom w:val="0"/>
      <w:divBdr>
        <w:top w:val="none" w:sz="0" w:space="0" w:color="auto"/>
        <w:left w:val="none" w:sz="0" w:space="0" w:color="auto"/>
        <w:bottom w:val="none" w:sz="0" w:space="0" w:color="auto"/>
        <w:right w:val="none" w:sz="0" w:space="0" w:color="auto"/>
      </w:divBdr>
    </w:div>
    <w:div w:id="2020961476">
      <w:bodyDiv w:val="1"/>
      <w:marLeft w:val="0"/>
      <w:marRight w:val="0"/>
      <w:marTop w:val="0"/>
      <w:marBottom w:val="0"/>
      <w:divBdr>
        <w:top w:val="none" w:sz="0" w:space="0" w:color="auto"/>
        <w:left w:val="none" w:sz="0" w:space="0" w:color="auto"/>
        <w:bottom w:val="none" w:sz="0" w:space="0" w:color="auto"/>
        <w:right w:val="none" w:sz="0" w:space="0" w:color="auto"/>
      </w:divBdr>
    </w:div>
    <w:div w:id="2083408959">
      <w:bodyDiv w:val="1"/>
      <w:marLeft w:val="0"/>
      <w:marRight w:val="0"/>
      <w:marTop w:val="0"/>
      <w:marBottom w:val="0"/>
      <w:divBdr>
        <w:top w:val="none" w:sz="0" w:space="0" w:color="auto"/>
        <w:left w:val="none" w:sz="0" w:space="0" w:color="auto"/>
        <w:bottom w:val="none" w:sz="0" w:space="0" w:color="auto"/>
        <w:right w:val="none" w:sz="0" w:space="0" w:color="auto"/>
      </w:divBdr>
    </w:div>
    <w:div w:id="2113550361">
      <w:bodyDiv w:val="1"/>
      <w:marLeft w:val="0"/>
      <w:marRight w:val="0"/>
      <w:marTop w:val="0"/>
      <w:marBottom w:val="0"/>
      <w:divBdr>
        <w:top w:val="none" w:sz="0" w:space="0" w:color="auto"/>
        <w:left w:val="none" w:sz="0" w:space="0" w:color="auto"/>
        <w:bottom w:val="none" w:sz="0" w:space="0" w:color="auto"/>
        <w:right w:val="none" w:sz="0" w:space="0" w:color="auto"/>
      </w:divBdr>
      <w:divsChild>
        <w:div w:id="1681814803">
          <w:marLeft w:val="0"/>
          <w:marRight w:val="0"/>
          <w:marTop w:val="0"/>
          <w:marBottom w:val="0"/>
          <w:divBdr>
            <w:top w:val="none" w:sz="0" w:space="0" w:color="auto"/>
            <w:left w:val="none" w:sz="0" w:space="0" w:color="auto"/>
            <w:bottom w:val="none" w:sz="0" w:space="0" w:color="auto"/>
            <w:right w:val="none" w:sz="0" w:space="0" w:color="auto"/>
          </w:divBdr>
          <w:divsChild>
            <w:div w:id="739406331">
              <w:marLeft w:val="0"/>
              <w:marRight w:val="0"/>
              <w:marTop w:val="0"/>
              <w:marBottom w:val="0"/>
              <w:divBdr>
                <w:top w:val="none" w:sz="0" w:space="0" w:color="auto"/>
                <w:left w:val="none" w:sz="0" w:space="0" w:color="auto"/>
                <w:bottom w:val="none" w:sz="0" w:space="0" w:color="auto"/>
                <w:right w:val="none" w:sz="0" w:space="0" w:color="auto"/>
              </w:divBdr>
              <w:divsChild>
                <w:div w:id="1721590582">
                  <w:marLeft w:val="0"/>
                  <w:marRight w:val="0"/>
                  <w:marTop w:val="0"/>
                  <w:marBottom w:val="0"/>
                  <w:divBdr>
                    <w:top w:val="none" w:sz="0" w:space="0" w:color="auto"/>
                    <w:left w:val="none" w:sz="0" w:space="0" w:color="auto"/>
                    <w:bottom w:val="none" w:sz="0" w:space="0" w:color="auto"/>
                    <w:right w:val="none" w:sz="0" w:space="0" w:color="auto"/>
                  </w:divBdr>
                  <w:divsChild>
                    <w:div w:id="35932414">
                      <w:marLeft w:val="0"/>
                      <w:marRight w:val="0"/>
                      <w:marTop w:val="0"/>
                      <w:marBottom w:val="0"/>
                      <w:divBdr>
                        <w:top w:val="none" w:sz="0" w:space="0" w:color="auto"/>
                        <w:left w:val="none" w:sz="0" w:space="0" w:color="auto"/>
                        <w:bottom w:val="none" w:sz="0" w:space="0" w:color="auto"/>
                        <w:right w:val="none" w:sz="0" w:space="0" w:color="auto"/>
                      </w:divBdr>
                      <w:divsChild>
                        <w:div w:id="337732281">
                          <w:marLeft w:val="0"/>
                          <w:marRight w:val="0"/>
                          <w:marTop w:val="0"/>
                          <w:marBottom w:val="0"/>
                          <w:divBdr>
                            <w:top w:val="none" w:sz="0" w:space="0" w:color="auto"/>
                            <w:left w:val="none" w:sz="0" w:space="0" w:color="auto"/>
                            <w:bottom w:val="none" w:sz="0" w:space="0" w:color="auto"/>
                            <w:right w:val="none" w:sz="0" w:space="0" w:color="auto"/>
                          </w:divBdr>
                          <w:divsChild>
                            <w:div w:id="570046809">
                              <w:marLeft w:val="0"/>
                              <w:marRight w:val="0"/>
                              <w:marTop w:val="0"/>
                              <w:marBottom w:val="0"/>
                              <w:divBdr>
                                <w:top w:val="none" w:sz="0" w:space="0" w:color="auto"/>
                                <w:left w:val="none" w:sz="0" w:space="0" w:color="auto"/>
                                <w:bottom w:val="none" w:sz="0" w:space="0" w:color="auto"/>
                                <w:right w:val="none" w:sz="0" w:space="0" w:color="auto"/>
                              </w:divBdr>
                              <w:divsChild>
                                <w:div w:id="651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6BA0-C61F-4A89-B828-9D93C10E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2763</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Audit area</vt:lpstr>
    </vt:vector>
  </TitlesOfParts>
  <Company>Lancashire County Council</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area</dc:title>
  <dc:subject/>
  <dc:creator>Ruth Lowry</dc:creator>
  <cp:keywords/>
  <dc:description/>
  <cp:lastModifiedBy>Mather, Chris</cp:lastModifiedBy>
  <cp:revision>5</cp:revision>
  <cp:lastPrinted>2015-01-16T14:43:00Z</cp:lastPrinted>
  <dcterms:created xsi:type="dcterms:W3CDTF">2015-01-15T12:24:00Z</dcterms:created>
  <dcterms:modified xsi:type="dcterms:W3CDTF">2015-01-16T14:43:00Z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378104528</vt:i4>
  </property>
</Properties>
</file>